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EA" w:rsidRDefault="004D42E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4D42EA" w:rsidRDefault="004D42E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4D42EA" w:rsidRDefault="004D42E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4D42EA" w:rsidRDefault="008457F9">
      <w:pPr>
        <w:jc w:val="right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临环高书〔2017〕</w:t>
      </w:r>
      <w:r w:rsidR="00A77405">
        <w:rPr>
          <w:rFonts w:ascii="文星仿宋" w:eastAsia="文星仿宋" w:hAnsi="文星仿宋" w:hint="eastAsia"/>
          <w:color w:val="000000"/>
          <w:sz w:val="32"/>
          <w:szCs w:val="32"/>
        </w:rPr>
        <w:t>6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号</w:t>
      </w:r>
    </w:p>
    <w:p w:rsidR="004D42EA" w:rsidRDefault="004D42EA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4D42EA" w:rsidRDefault="008457F9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w w:val="98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w w:val="98"/>
          <w:sz w:val="44"/>
          <w:szCs w:val="44"/>
        </w:rPr>
        <w:t>关于临沂</w:t>
      </w:r>
      <w:r w:rsidR="00A77405">
        <w:rPr>
          <w:rFonts w:ascii="方正小标宋简体" w:eastAsia="方正小标宋简体" w:hAnsi="Times New Roman" w:cs="Times New Roman" w:hint="eastAsia"/>
          <w:color w:val="000000"/>
          <w:w w:val="98"/>
          <w:sz w:val="44"/>
          <w:szCs w:val="44"/>
        </w:rPr>
        <w:t>俊峰</w:t>
      </w:r>
      <w:r>
        <w:rPr>
          <w:rFonts w:ascii="方正小标宋简体" w:eastAsia="方正小标宋简体" w:hAnsi="Times New Roman" w:cs="Times New Roman" w:hint="eastAsia"/>
          <w:color w:val="000000"/>
          <w:w w:val="98"/>
          <w:sz w:val="44"/>
          <w:szCs w:val="44"/>
        </w:rPr>
        <w:t>车业有限公司</w:t>
      </w:r>
    </w:p>
    <w:p w:rsidR="002122A8" w:rsidRDefault="00A77405">
      <w:pPr>
        <w:spacing w:line="600" w:lineRule="exact"/>
        <w:jc w:val="center"/>
        <w:rPr>
          <w:rFonts w:ascii="方正小标宋简体" w:eastAsia="方正小标宋简体" w:hAnsi="文星标宋"/>
          <w:color w:val="000000"/>
          <w:spacing w:val="-12"/>
          <w:sz w:val="44"/>
          <w:szCs w:val="44"/>
        </w:rPr>
      </w:pPr>
      <w:r w:rsidRPr="002122A8">
        <w:rPr>
          <w:rFonts w:ascii="方正小标宋简体" w:eastAsia="方正小标宋简体" w:hAnsi="文星标宋" w:hint="eastAsia"/>
          <w:color w:val="000000"/>
          <w:spacing w:val="-12"/>
          <w:sz w:val="44"/>
          <w:szCs w:val="44"/>
        </w:rPr>
        <w:t>年加工3万辆电动车配套</w:t>
      </w:r>
      <w:r w:rsidRPr="002122A8">
        <w:rPr>
          <w:rFonts w:ascii="方正小标宋简体" w:eastAsia="方正小标宋简体" w:hAnsi="文星标宋"/>
          <w:color w:val="000000"/>
          <w:spacing w:val="-12"/>
          <w:sz w:val="44"/>
          <w:szCs w:val="44"/>
        </w:rPr>
        <w:t>项目</w:t>
      </w:r>
      <w:r w:rsidR="008457F9">
        <w:rPr>
          <w:rFonts w:ascii="方正小标宋简体" w:eastAsia="方正小标宋简体" w:hAnsi="文星标宋" w:hint="eastAsia"/>
          <w:color w:val="000000"/>
          <w:spacing w:val="-12"/>
          <w:sz w:val="44"/>
          <w:szCs w:val="44"/>
        </w:rPr>
        <w:t>环境影响评价</w:t>
      </w:r>
    </w:p>
    <w:p w:rsidR="004D42EA" w:rsidRDefault="008457F9">
      <w:pPr>
        <w:spacing w:line="600" w:lineRule="exact"/>
        <w:jc w:val="center"/>
        <w:rPr>
          <w:rFonts w:ascii="方正小标宋简体" w:eastAsia="方正小标宋简体" w:hAnsi="文星标宋" w:cs="文星标宋"/>
          <w:spacing w:val="-10"/>
          <w:sz w:val="44"/>
          <w:szCs w:val="44"/>
        </w:rPr>
      </w:pPr>
      <w:r>
        <w:rPr>
          <w:rFonts w:ascii="方正小标宋简体" w:eastAsia="方正小标宋简体" w:hAnsi="文星标宋" w:hint="eastAsia"/>
          <w:color w:val="000000"/>
          <w:spacing w:val="-12"/>
          <w:sz w:val="44"/>
          <w:szCs w:val="44"/>
        </w:rPr>
        <w:t>报告书的批复</w:t>
      </w:r>
    </w:p>
    <w:p w:rsidR="004D42EA" w:rsidRDefault="004D42EA">
      <w:pPr>
        <w:rPr>
          <w:rFonts w:ascii="仿宋_GB2312" w:eastAsia="仿宋_GB2312"/>
          <w:color w:val="000000"/>
          <w:sz w:val="32"/>
          <w:szCs w:val="32"/>
        </w:rPr>
      </w:pPr>
    </w:p>
    <w:p w:rsidR="004D42EA" w:rsidRPr="00B142A2" w:rsidRDefault="00A77405">
      <w:pPr>
        <w:pStyle w:val="3"/>
        <w:spacing w:line="700" w:lineRule="exact"/>
        <w:ind w:firstLineChars="0" w:firstLine="0"/>
        <w:contextualSpacing/>
        <w:rPr>
          <w:rFonts w:hAnsi="Times New Roman"/>
          <w:color w:val="000000"/>
          <w:w w:val="98"/>
          <w:szCs w:val="32"/>
        </w:rPr>
      </w:pPr>
      <w:r w:rsidRPr="00B142A2">
        <w:rPr>
          <w:rFonts w:hint="eastAsia"/>
          <w:color w:val="000000"/>
          <w:szCs w:val="32"/>
        </w:rPr>
        <w:t>临沂俊峰车业有限公司</w:t>
      </w:r>
      <w:r w:rsidR="008457F9" w:rsidRPr="00B142A2">
        <w:rPr>
          <w:rFonts w:hAnsi="Times New Roman" w:hint="eastAsia"/>
          <w:color w:val="000000"/>
          <w:w w:val="98"/>
          <w:szCs w:val="32"/>
        </w:rPr>
        <w:t>：</w:t>
      </w:r>
    </w:p>
    <w:p w:rsidR="004D42EA" w:rsidRPr="00B142A2" w:rsidRDefault="008457F9">
      <w:pPr>
        <w:spacing w:line="700" w:lineRule="exact"/>
        <w:ind w:firstLineChars="200" w:firstLine="608"/>
        <w:rPr>
          <w:rFonts w:ascii="仿宋_GB2312" w:eastAsia="仿宋_GB2312" w:hAnsi="文星仿宋"/>
          <w:color w:val="000000"/>
          <w:spacing w:val="-8"/>
          <w:sz w:val="32"/>
          <w:szCs w:val="32"/>
        </w:rPr>
      </w:pPr>
      <w:r w:rsidRPr="00B142A2">
        <w:rPr>
          <w:rFonts w:ascii="仿宋_GB2312" w:eastAsia="仿宋_GB2312" w:hAnsi="文星仿宋" w:hint="eastAsia"/>
          <w:color w:val="000000"/>
          <w:spacing w:val="-8"/>
          <w:sz w:val="32"/>
          <w:szCs w:val="32"/>
        </w:rPr>
        <w:t>你单位提报的《</w:t>
      </w:r>
      <w:r w:rsidR="00A77405" w:rsidRPr="00B142A2">
        <w:rPr>
          <w:rFonts w:ascii="仿宋_GB2312" w:eastAsia="仿宋_GB2312" w:hint="eastAsia"/>
          <w:color w:val="000000"/>
          <w:sz w:val="32"/>
          <w:szCs w:val="32"/>
        </w:rPr>
        <w:t>临沂俊峰车业有限公司</w:t>
      </w:r>
      <w:r w:rsidR="00A77405" w:rsidRPr="00B142A2">
        <w:rPr>
          <w:rFonts w:ascii="仿宋_GB2312" w:eastAsia="仿宋_GB2312" w:hAnsi="宋体" w:hint="eastAsia"/>
          <w:color w:val="000000"/>
          <w:sz w:val="32"/>
          <w:szCs w:val="32"/>
        </w:rPr>
        <w:t>年加工3万辆电动车配套</w:t>
      </w:r>
      <w:r w:rsidR="00A77405" w:rsidRPr="00B142A2">
        <w:rPr>
          <w:rFonts w:ascii="仿宋_GB2312" w:eastAsia="仿宋_GB2312" w:hint="eastAsia"/>
          <w:color w:val="000000"/>
          <w:sz w:val="32"/>
          <w:szCs w:val="32"/>
        </w:rPr>
        <w:t>项目</w:t>
      </w:r>
      <w:r w:rsidRPr="00B142A2">
        <w:rPr>
          <w:rFonts w:ascii="仿宋_GB2312" w:eastAsia="仿宋_GB2312" w:hAnsi="文星仿宋" w:hint="eastAsia"/>
          <w:color w:val="000000"/>
          <w:spacing w:val="-8"/>
          <w:sz w:val="32"/>
          <w:szCs w:val="32"/>
        </w:rPr>
        <w:t>环境影响评价报告书》已收悉。经研究，批复如下：</w:t>
      </w:r>
    </w:p>
    <w:p w:rsidR="004D42EA" w:rsidRPr="00B142A2" w:rsidRDefault="008457F9">
      <w:pPr>
        <w:spacing w:line="7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B142A2">
        <w:rPr>
          <w:rFonts w:ascii="黑体" w:eastAsia="黑体" w:hint="eastAsia"/>
          <w:color w:val="000000"/>
          <w:sz w:val="32"/>
          <w:szCs w:val="32"/>
        </w:rPr>
        <w:t>一、基本情况</w:t>
      </w:r>
    </w:p>
    <w:p w:rsidR="002122A8" w:rsidRPr="00B142A2" w:rsidRDefault="008457F9">
      <w:pPr>
        <w:pStyle w:val="a3"/>
        <w:spacing w:after="0" w:line="700" w:lineRule="exact"/>
        <w:ind w:firstLineChars="200" w:firstLine="608"/>
        <w:rPr>
          <w:rFonts w:ascii="仿宋_GB2312" w:eastAsia="仿宋_GB2312" w:hAnsi="Times New Roman"/>
          <w:w w:val="98"/>
          <w:sz w:val="32"/>
          <w:szCs w:val="32"/>
        </w:rPr>
      </w:pPr>
      <w:r w:rsidRPr="00B142A2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该项目位于</w:t>
      </w:r>
      <w:r w:rsidR="002122A8" w:rsidRPr="00B142A2">
        <w:rPr>
          <w:rFonts w:ascii="仿宋_GB2312" w:eastAsia="仿宋_GB2312" w:hint="eastAsia"/>
          <w:color w:val="000000"/>
          <w:sz w:val="32"/>
          <w:szCs w:val="32"/>
        </w:rPr>
        <w:t>临沂高新技术产业开发区罗西街道西石埠村东约600m处</w:t>
      </w:r>
      <w:r w:rsidRPr="00B142A2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。</w:t>
      </w:r>
      <w:r w:rsidR="002122A8" w:rsidRPr="00B142A2">
        <w:rPr>
          <w:rFonts w:ascii="仿宋_GB2312" w:eastAsia="仿宋_GB2312" w:hAnsi="Times New Roman" w:hint="eastAsia"/>
          <w:w w:val="98"/>
          <w:sz w:val="32"/>
          <w:szCs w:val="32"/>
        </w:rPr>
        <w:t>该项目为新建（补办手续），</w:t>
      </w:r>
      <w:r w:rsidR="002D3C77" w:rsidRPr="00B142A2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项目总投资</w:t>
      </w:r>
      <w:r w:rsidR="002122A8" w:rsidRPr="00B142A2">
        <w:rPr>
          <w:rFonts w:ascii="仿宋_GB2312" w:eastAsia="仿宋_GB2312" w:hint="eastAsia"/>
          <w:color w:val="000000"/>
          <w:sz w:val="32"/>
          <w:szCs w:val="32"/>
        </w:rPr>
        <w:t>150</w:t>
      </w:r>
      <w:r w:rsidR="002D3C77" w:rsidRPr="00B142A2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万元，其中环保投资</w:t>
      </w:r>
      <w:r w:rsidR="002122A8" w:rsidRPr="00B142A2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27</w:t>
      </w:r>
      <w:r w:rsidR="002D3C77" w:rsidRPr="00B142A2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万元。</w:t>
      </w:r>
      <w:r w:rsidRPr="00B142A2">
        <w:rPr>
          <w:rFonts w:ascii="仿宋_GB2312" w:eastAsia="仿宋_GB2312" w:hAnsi="Times New Roman" w:hint="eastAsia"/>
          <w:w w:val="98"/>
          <w:sz w:val="32"/>
          <w:szCs w:val="32"/>
        </w:rPr>
        <w:t>项目主要建设</w:t>
      </w:r>
      <w:r w:rsidR="002122A8" w:rsidRPr="00B142A2">
        <w:rPr>
          <w:rFonts w:ascii="仿宋_GB2312" w:eastAsia="仿宋_GB2312" w:hAnsi="Times New Roman" w:hint="eastAsia"/>
          <w:w w:val="98"/>
          <w:sz w:val="32"/>
          <w:szCs w:val="32"/>
        </w:rPr>
        <w:t>生产车间及辅助工程等，</w:t>
      </w:r>
      <w:r w:rsidR="002122A8" w:rsidRPr="00B142A2">
        <w:rPr>
          <w:rFonts w:ascii="仿宋_GB2312" w:eastAsia="仿宋_GB2312" w:hAnsi="Calibri" w:cs="Times New Roman" w:hint="eastAsia"/>
          <w:color w:val="000000"/>
          <w:sz w:val="32"/>
          <w:szCs w:val="32"/>
        </w:rPr>
        <w:t>设计电泳加工电动车车架3万辆/年，其中喷漆车架1万辆/年</w:t>
      </w:r>
      <w:r w:rsidRPr="00B142A2">
        <w:rPr>
          <w:rFonts w:ascii="仿宋_GB2312" w:eastAsia="仿宋_GB2312" w:hAnsi="Times New Roman" w:hint="eastAsia"/>
          <w:w w:val="98"/>
          <w:sz w:val="32"/>
          <w:szCs w:val="32"/>
        </w:rPr>
        <w:t>。</w:t>
      </w:r>
    </w:p>
    <w:p w:rsidR="004D42EA" w:rsidRPr="00B142A2" w:rsidRDefault="008457F9" w:rsidP="002122A8">
      <w:pPr>
        <w:pStyle w:val="a3"/>
        <w:spacing w:after="0" w:line="700" w:lineRule="exact"/>
        <w:ind w:firstLineChars="200" w:firstLine="608"/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</w:pPr>
      <w:r w:rsidRPr="00B142A2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在落实报告书所提出的各项环保措施、风险防范措施后，</w:t>
      </w:r>
      <w:r w:rsidRPr="00B142A2"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污染物可达标排放，从环境保护角度，该项目建设可行。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B142A2">
        <w:rPr>
          <w:rFonts w:ascii="黑体" w:eastAsia="黑体" w:hint="eastAsia"/>
          <w:color w:val="000000"/>
          <w:sz w:val="32"/>
          <w:szCs w:val="32"/>
        </w:rPr>
        <w:t>二、项目建设及运行管理中应重点做好以下工作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lastRenderedPageBreak/>
        <w:t>（一）加强环境管理，严格落实报告书提出的废气污染防治措施。</w:t>
      </w:r>
    </w:p>
    <w:p w:rsidR="004D42EA" w:rsidRPr="00B142A2" w:rsidRDefault="008457F9" w:rsidP="00B142A2">
      <w:pPr>
        <w:pStyle w:val="a3"/>
        <w:spacing w:after="0" w:line="700" w:lineRule="exact"/>
        <w:ind w:firstLineChars="200" w:firstLine="625"/>
        <w:rPr>
          <w:rFonts w:ascii="仿宋_GB2312" w:eastAsia="仿宋_GB2312" w:hAnsi="Times New Roman" w:cs="Times New Roman"/>
          <w:color w:val="000000"/>
          <w:w w:val="98"/>
          <w:sz w:val="32"/>
          <w:szCs w:val="32"/>
        </w:rPr>
      </w:pPr>
      <w:r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1</w:t>
      </w:r>
      <w:r w:rsidR="00942207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、</w:t>
      </w:r>
      <w:r w:rsidR="002122A8" w:rsidRPr="00B142A2">
        <w:rPr>
          <w:rFonts w:ascii="仿宋_GB2312" w:eastAsia="仿宋_GB2312" w:hint="eastAsia"/>
          <w:color w:val="000000"/>
          <w:sz w:val="32"/>
          <w:szCs w:val="32"/>
        </w:rPr>
        <w:t>酸洗废气</w:t>
      </w:r>
      <w:r w:rsidR="0082447A" w:rsidRPr="00B142A2">
        <w:rPr>
          <w:rFonts w:ascii="仿宋_GB2312" w:eastAsia="仿宋_GB2312" w:hint="eastAsia"/>
          <w:color w:val="000000"/>
          <w:sz w:val="32"/>
          <w:szCs w:val="32"/>
        </w:rPr>
        <w:t>经</w:t>
      </w:r>
      <w:r w:rsidR="002122A8" w:rsidRPr="00B142A2">
        <w:rPr>
          <w:rFonts w:ascii="仿宋_GB2312" w:eastAsia="仿宋_GB2312" w:hint="eastAsia"/>
          <w:color w:val="000000"/>
          <w:sz w:val="32"/>
          <w:szCs w:val="32"/>
        </w:rPr>
        <w:t>抽风装置将酸雾收集后送至酸雾吸收塔处理后由1根15米高排气筒排放</w:t>
      </w:r>
      <w:r w:rsidR="00942207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，</w:t>
      </w:r>
      <w:r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确保外排废气中</w:t>
      </w:r>
      <w:r w:rsidR="005F197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酸雾废气</w:t>
      </w:r>
      <w:r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排放浓度和排放速率满足</w:t>
      </w:r>
      <w:r w:rsidR="005F197C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《大气污染物综合排放标准》（GB16297-1996）</w:t>
      </w:r>
      <w:r w:rsidR="005F197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标准要求</w:t>
      </w:r>
      <w:r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。</w:t>
      </w:r>
    </w:p>
    <w:p w:rsidR="002122A8" w:rsidRPr="00B142A2" w:rsidRDefault="005F197C" w:rsidP="00B142A2">
      <w:pPr>
        <w:pStyle w:val="a3"/>
        <w:spacing w:after="0" w:line="7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</w:t>
      </w:r>
      <w:r w:rsidR="002122A8" w:rsidRPr="00B142A2">
        <w:rPr>
          <w:rFonts w:ascii="仿宋_GB2312" w:eastAsia="仿宋_GB2312" w:hint="eastAsia"/>
          <w:color w:val="000000"/>
          <w:sz w:val="32"/>
          <w:szCs w:val="32"/>
        </w:rPr>
        <w:t>电泳烘干废气</w:t>
      </w:r>
      <w:r w:rsidR="0082447A" w:rsidRPr="00B142A2">
        <w:rPr>
          <w:rFonts w:ascii="仿宋_GB2312" w:eastAsia="仿宋_GB2312" w:hint="eastAsia"/>
          <w:color w:val="000000"/>
          <w:sz w:val="32"/>
          <w:szCs w:val="32"/>
        </w:rPr>
        <w:t>通过</w:t>
      </w:r>
      <w:r w:rsidR="002122A8" w:rsidRPr="00B142A2">
        <w:rPr>
          <w:rFonts w:ascii="仿宋_GB2312" w:eastAsia="仿宋_GB2312" w:hint="eastAsia"/>
          <w:color w:val="000000"/>
          <w:sz w:val="32"/>
          <w:szCs w:val="32"/>
        </w:rPr>
        <w:t>光氧催化装置处理达标后</w:t>
      </w:r>
      <w:r w:rsidR="0082447A" w:rsidRPr="00B142A2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2122A8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由1根15m高排气筒排放，确保外排</w:t>
      </w:r>
      <w:r w:rsidR="00A41D9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VOCs</w:t>
      </w:r>
      <w:r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排放浓度和排放速率满足《挥发性有机物排放标准 第1部分：汽车制造业》（DB37/2801.1－2016）表2标准要求</w:t>
      </w:r>
      <w:r w:rsidR="002122A8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。</w:t>
      </w:r>
    </w:p>
    <w:p w:rsidR="002122A8" w:rsidRPr="00CB1E12" w:rsidRDefault="00CB1E12" w:rsidP="00CB1E12">
      <w:pPr>
        <w:pStyle w:val="a3"/>
        <w:spacing w:after="0" w:line="7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</w:t>
      </w:r>
      <w:r w:rsidR="002122A8" w:rsidRPr="00B142A2">
        <w:rPr>
          <w:rFonts w:ascii="仿宋_GB2312" w:eastAsia="仿宋_GB2312" w:hint="eastAsia"/>
          <w:color w:val="000000"/>
          <w:sz w:val="32"/>
          <w:szCs w:val="32"/>
        </w:rPr>
        <w:t>喷漆</w:t>
      </w:r>
      <w:r w:rsidR="00A41D9C">
        <w:rPr>
          <w:rFonts w:ascii="仿宋_GB2312" w:eastAsia="仿宋_GB2312" w:hint="eastAsia"/>
          <w:color w:val="000000"/>
          <w:sz w:val="32"/>
          <w:szCs w:val="32"/>
        </w:rPr>
        <w:t>、调漆产生的</w:t>
      </w:r>
      <w:r w:rsidR="002122A8" w:rsidRPr="00B142A2">
        <w:rPr>
          <w:rFonts w:ascii="仿宋_GB2312" w:eastAsia="仿宋_GB2312" w:hint="eastAsia"/>
          <w:color w:val="000000"/>
          <w:sz w:val="32"/>
          <w:szCs w:val="32"/>
        </w:rPr>
        <w:t>废气经水旋式喷漆室净化装置+滤棉过滤+光氧催化装置处理达标后</w:t>
      </w:r>
      <w:r w:rsidR="0082447A" w:rsidRPr="00B142A2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82447A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由1根15m高排气筒排放，确保外排废气中</w:t>
      </w:r>
      <w:r w:rsidR="00A41D9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挥发性有机物、甲苯、二甲苯排放浓度和速率满足</w:t>
      </w:r>
      <w:r w:rsidR="00A41D9C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《挥发性有机物排放标准 第1部分：汽车制造业》（DB37/2801.1－2016）表2标准要求</w:t>
      </w:r>
      <w:r w:rsidR="00A41D9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；漆雾颗粒排放浓度满足</w:t>
      </w:r>
      <w:r w:rsidR="0082447A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《山东省区域性大气污染物综合排放标准》（DB37/2376-2013）表</w:t>
      </w:r>
      <w:r w:rsidR="00A41D9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2</w:t>
      </w:r>
      <w:r w:rsidR="0082447A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标准要求</w:t>
      </w:r>
      <w:r w:rsidR="00A41D9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，</w:t>
      </w:r>
      <w:r w:rsidR="00A41D9C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排放速率满足《大气污染物综合排放标准》（GB16297-1996）</w:t>
      </w:r>
      <w:r w:rsidR="00A41D9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标准要求</w:t>
      </w:r>
      <w:r w:rsidR="0082447A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。</w:t>
      </w:r>
    </w:p>
    <w:p w:rsidR="004D42EA" w:rsidRPr="00B142A2" w:rsidRDefault="00773A3E">
      <w:pPr>
        <w:spacing w:line="700" w:lineRule="exact"/>
        <w:ind w:firstLineChars="200" w:firstLine="626"/>
        <w:rPr>
          <w:rFonts w:ascii="仿宋_GB2312" w:eastAsia="仿宋_GB2312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4</w:t>
      </w:r>
      <w:r w:rsidR="008457F9" w:rsidRPr="00B142A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</w:t>
      </w:r>
      <w:r w:rsidR="002122A8" w:rsidRPr="00B142A2">
        <w:rPr>
          <w:rFonts w:ascii="仿宋_GB2312" w:eastAsia="仿宋_GB2312" w:hint="eastAsia"/>
          <w:color w:val="000000"/>
          <w:sz w:val="32"/>
          <w:szCs w:val="32"/>
        </w:rPr>
        <w:t>喷漆烘干废气经光氧催化处理后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由1根15m高排气筒排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lastRenderedPageBreak/>
        <w:t>放，确保外排废气中</w:t>
      </w:r>
      <w:r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中</w:t>
      </w:r>
      <w:r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挥发性有机物、甲苯、二甲苯排放浓度和速率满足</w:t>
      </w:r>
      <w:r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《挥发性有机物排放标准 第1部分：汽车制造业》（DB37/2801.1－2016）表2标准要求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。</w:t>
      </w:r>
    </w:p>
    <w:p w:rsidR="004D42EA" w:rsidRDefault="00773A3E" w:rsidP="00B142A2">
      <w:pPr>
        <w:pStyle w:val="a3"/>
        <w:spacing w:after="0" w:line="700" w:lineRule="exact"/>
        <w:ind w:firstLineChars="200" w:firstLine="625"/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5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、</w:t>
      </w:r>
      <w:r w:rsidR="002122A8" w:rsidRPr="00B142A2">
        <w:rPr>
          <w:rFonts w:ascii="仿宋_GB2312" w:eastAsia="仿宋_GB2312" w:hint="eastAsia"/>
          <w:color w:val="000000"/>
          <w:sz w:val="32"/>
          <w:szCs w:val="32"/>
        </w:rPr>
        <w:t>打磨粉尘经布袋除尘器处理后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由1根15m高排气筒排放，确保外排粉尘排放浓度满足《山东省区域性大气污染物综合排放标准》（DB37/2376-2013）</w:t>
      </w:r>
      <w:r w:rsidR="00A41D9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2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标准要求</w:t>
      </w:r>
      <w:r w:rsidR="00A41D9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,</w:t>
      </w:r>
      <w:r w:rsidR="00A41D9C" w:rsidRPr="00A41D9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 xml:space="preserve"> </w:t>
      </w:r>
      <w:r w:rsidR="00A41D9C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排放速率满足《大气污染物综合排放标准》（GB16297-1996）</w:t>
      </w:r>
      <w:r w:rsidR="00A41D9C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标准要求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。</w:t>
      </w:r>
    </w:p>
    <w:p w:rsidR="00773A3E" w:rsidRPr="00B142A2" w:rsidRDefault="00773A3E" w:rsidP="00773A3E">
      <w:pPr>
        <w:pStyle w:val="a3"/>
        <w:spacing w:after="0" w:line="700" w:lineRule="exact"/>
        <w:ind w:firstLineChars="200" w:firstLine="626"/>
        <w:rPr>
          <w:rFonts w:ascii="仿宋_GB2312" w:eastAsia="仿宋_GB2312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6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、天然气燃烧产生的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废气由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根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15m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高排气筒排放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，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确保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外排废气中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SO</w:t>
      </w:r>
      <w:r w:rsidRPr="00942207">
        <w:rPr>
          <w:rFonts w:ascii="Times New Roman" w:eastAsia="文星仿宋" w:hAnsi="Times New Roman" w:cs="Times New Roman"/>
          <w:color w:val="000000"/>
          <w:w w:val="98"/>
          <w:sz w:val="32"/>
          <w:szCs w:val="32"/>
          <w:vertAlign w:val="subscript"/>
        </w:rPr>
        <w:t>2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、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NO</w:t>
      </w:r>
      <w:r w:rsidRPr="00942207">
        <w:rPr>
          <w:rFonts w:ascii="Times New Roman" w:eastAsia="文星仿宋" w:hAnsi="Times New Roman" w:cs="Times New Roman"/>
          <w:color w:val="000000"/>
          <w:w w:val="98"/>
          <w:sz w:val="32"/>
          <w:szCs w:val="32"/>
          <w:vertAlign w:val="subscript"/>
        </w:rPr>
        <w:t>X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 xml:space="preserve"> 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和烟尘排放浓度满足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《山东省区域性大气污染物综合排放标准》（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2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要求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。</w:t>
      </w:r>
    </w:p>
    <w:p w:rsidR="004D42EA" w:rsidRPr="00B142A2" w:rsidRDefault="00773A3E" w:rsidP="00B142A2">
      <w:pPr>
        <w:pStyle w:val="a3"/>
        <w:spacing w:after="0" w:line="700" w:lineRule="exact"/>
        <w:ind w:firstLineChars="200" w:firstLine="625"/>
        <w:rPr>
          <w:rFonts w:ascii="仿宋_GB2312" w:eastAsia="仿宋_GB2312" w:hAnsi="Times New Roman" w:cs="Times New Roman"/>
          <w:color w:val="000000"/>
          <w:w w:val="98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7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、</w:t>
      </w:r>
      <w:r w:rsidR="00711B7B" w:rsidRPr="00B142A2">
        <w:rPr>
          <w:rFonts w:ascii="仿宋_GB2312" w:eastAsia="仿宋_GB2312" w:hAnsi="文星仿宋" w:hint="eastAsia"/>
          <w:color w:val="000000"/>
          <w:sz w:val="32"/>
          <w:szCs w:val="32"/>
        </w:rPr>
        <w:t>落实报告书中提出的无组织废气控制措施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，确保外排颗粒物满足《大气污染物综合排放标准》（GB16297-1996）表2无组织排放监控浓度限值要求；VOCs排放浓度须满足《挥发性有机物排放标准 第1部分：汽车制造业》（DB37/2801.1－2016）表2标准要求。</w:t>
      </w:r>
    </w:p>
    <w:p w:rsidR="004D42EA" w:rsidRPr="00B142A2" w:rsidRDefault="008457F9">
      <w:pPr>
        <w:spacing w:line="700" w:lineRule="exact"/>
        <w:ind w:firstLineChars="200" w:firstLine="640"/>
        <w:rPr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（二）落实水污染防治措施。合理设计雨水管网、废水管网，排水系统应按“清污分流”“污污分流”原则进行设计。</w:t>
      </w:r>
    </w:p>
    <w:p w:rsidR="004D42EA" w:rsidRPr="008B3A25" w:rsidRDefault="008B3A25" w:rsidP="008B3A25">
      <w:pPr>
        <w:pStyle w:val="1"/>
        <w:spacing w:line="700" w:lineRule="exact"/>
        <w:ind w:firstLine="640"/>
        <w:jc w:val="left"/>
        <w:rPr>
          <w:rFonts w:ascii="仿宋_GB2312" w:eastAsia="仿宋_GB2312" w:hAnsi="文星仿宋"/>
          <w:color w:val="000000"/>
          <w:sz w:val="32"/>
          <w:szCs w:val="32"/>
        </w:rPr>
      </w:pPr>
      <w:r w:rsidRPr="008B3A25">
        <w:rPr>
          <w:rFonts w:ascii="仿宋_GB2312" w:eastAsia="仿宋_GB2312" w:hint="eastAsia"/>
          <w:color w:val="000000"/>
          <w:sz w:val="32"/>
          <w:szCs w:val="32"/>
        </w:rPr>
        <w:t>本项目喷漆废水经污水处理站处理后循环使用，不得外排；生产废水经污水处理站处理后与生活污水、纯化水浓水经污水</w:t>
      </w:r>
      <w:r w:rsidRPr="008B3A25">
        <w:rPr>
          <w:rFonts w:ascii="仿宋_GB2312" w:eastAsia="仿宋_GB2312" w:hint="eastAsia"/>
          <w:color w:val="000000"/>
          <w:sz w:val="32"/>
          <w:szCs w:val="32"/>
        </w:rPr>
        <w:lastRenderedPageBreak/>
        <w:t>管网排污高新区污水处理厂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8B3A25">
        <w:rPr>
          <w:rFonts w:ascii="仿宋_GB2312" w:eastAsia="仿宋_GB2312" w:hint="eastAsia"/>
          <w:color w:val="000000"/>
          <w:sz w:val="32"/>
          <w:szCs w:val="32"/>
        </w:rPr>
        <w:t>进行深度处理</w:t>
      </w:r>
      <w:r w:rsidR="008457F9" w:rsidRPr="008B3A25">
        <w:rPr>
          <w:rFonts w:ascii="仿宋_GB2312" w:eastAsia="仿宋_GB2312" w:hAnsi="文星仿宋" w:hint="eastAsia"/>
          <w:color w:val="000000"/>
          <w:sz w:val="32"/>
          <w:szCs w:val="32"/>
        </w:rPr>
        <w:t>。</w:t>
      </w:r>
    </w:p>
    <w:p w:rsidR="004D42EA" w:rsidRPr="00B142A2" w:rsidRDefault="008457F9">
      <w:pPr>
        <w:numPr>
          <w:ilvl w:val="0"/>
          <w:numId w:val="1"/>
        </w:num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通过选用低噪音设备，并相应采取减震、隔声、降噪等措施，确保厂界噪声符合《工业企业厂界环境噪声排放标准》（GB12348-2008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）</w:t>
      </w: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中2类标准要求。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/>
          <w:spacing w:val="-8"/>
          <w:sz w:val="32"/>
          <w:szCs w:val="32"/>
        </w:rPr>
      </w:pPr>
      <w:r w:rsidRPr="00B142A2">
        <w:rPr>
          <w:rFonts w:ascii="文星仿宋" w:eastAsia="文星仿宋" w:hAnsi="文星仿宋" w:cs="宋体" w:hint="eastAsia"/>
          <w:color w:val="000000"/>
          <w:sz w:val="32"/>
          <w:szCs w:val="32"/>
        </w:rPr>
        <w:t>（四）按照固体废物“资源化、减量化、无害化”处置原则，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落实各类固体废物的收集、处置和综合利用措施。一般固废按照报告书中提出的处置措施进行处理；</w:t>
      </w:r>
      <w:r w:rsidR="008B3A25" w:rsidRPr="008B3A25">
        <w:rPr>
          <w:rFonts w:ascii="文星仿宋" w:eastAsia="文星仿宋" w:hAnsi="文星仿宋" w:cs="宋体" w:hint="eastAsia"/>
          <w:sz w:val="32"/>
          <w:szCs w:val="32"/>
        </w:rPr>
        <w:t>废脱脂液、废酸洗液、废磷化液、废电泳漆、漆渣（含滤棉）、废漆桶、污水处理站污泥等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属于危险废物，危险废物必须委托有资质单位代为处置，不得随意处置，平时要按照《危险废物贮存污染控制标准》（GB18597-2001）的要求做好暂存工作</w:t>
      </w:r>
      <w:r w:rsidRPr="00B142A2">
        <w:rPr>
          <w:rFonts w:ascii="文星仿宋" w:eastAsia="文星仿宋" w:hAnsi="文星仿宋" w:cs="Times New Roman" w:hint="eastAsia"/>
          <w:spacing w:val="-8"/>
          <w:sz w:val="32"/>
          <w:szCs w:val="32"/>
        </w:rPr>
        <w:t>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 w:cs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cs="宋体" w:hint="eastAsia"/>
          <w:color w:val="000000"/>
          <w:sz w:val="32"/>
          <w:szCs w:val="32"/>
        </w:rPr>
        <w:t>（五）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报告书确定卫生防护距离</w:t>
      </w:r>
      <w:r w:rsidRPr="00B142A2">
        <w:rPr>
          <w:rFonts w:ascii="文星仿宋" w:eastAsia="文星仿宋" w:hAnsi="文星仿宋" w:cs="宋体"/>
          <w:sz w:val="32"/>
          <w:szCs w:val="32"/>
        </w:rPr>
        <w:t>为</w:t>
      </w:r>
      <w:r w:rsidR="008B3A25">
        <w:rPr>
          <w:rFonts w:ascii="文星仿宋" w:eastAsia="文星仿宋" w:hAnsi="文星仿宋" w:cs="宋体" w:hint="eastAsia"/>
          <w:sz w:val="32"/>
          <w:szCs w:val="32"/>
        </w:rPr>
        <w:t>1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00</w:t>
      </w:r>
      <w:r w:rsidRPr="00B142A2">
        <w:rPr>
          <w:rFonts w:ascii="文星仿宋" w:eastAsia="文星仿宋" w:hAnsi="文星仿宋" w:cs="宋体"/>
          <w:sz w:val="32"/>
          <w:szCs w:val="32"/>
        </w:rPr>
        <w:t>m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，</w:t>
      </w:r>
      <w:r w:rsidR="00711B7B" w:rsidRPr="00B142A2">
        <w:rPr>
          <w:rFonts w:ascii="文星仿宋" w:eastAsia="文星仿宋" w:hAnsi="文星仿宋" w:cs="宋体" w:hint="eastAsia"/>
          <w:sz w:val="32"/>
          <w:szCs w:val="32"/>
        </w:rPr>
        <w:t>卫生防护距离范围内不得新建学校、医院、居住区等敏感性建筑</w:t>
      </w:r>
      <w:r w:rsidR="00711B7B" w:rsidRPr="00B142A2"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。</w:t>
      </w:r>
    </w:p>
    <w:p w:rsidR="004D42EA" w:rsidRPr="00B142A2" w:rsidRDefault="008457F9">
      <w:pPr>
        <w:spacing w:line="700" w:lineRule="exact"/>
        <w:ind w:firstLineChars="200" w:firstLine="608"/>
        <w:rPr>
          <w:rFonts w:ascii="文星仿宋" w:eastAsia="文星仿宋" w:hAnsi="文星仿宋"/>
          <w:color w:val="000000" w:themeColor="text1"/>
          <w:spacing w:val="-8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（六）本项目SO</w:t>
      </w:r>
      <w:r w:rsidRPr="00B142A2"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  <w:vertAlign w:val="subscript"/>
        </w:rPr>
        <w:t>2</w:t>
      </w:r>
      <w:r w:rsidRPr="00B142A2"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、NO</w:t>
      </w:r>
      <w:r w:rsidRPr="00B142A2"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  <w:vertAlign w:val="subscript"/>
        </w:rPr>
        <w:t>X</w:t>
      </w:r>
      <w:r w:rsidRPr="00B142A2"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的排放量应分别控制在</w:t>
      </w:r>
      <w:r w:rsidR="008B3A25"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0.042</w:t>
      </w:r>
      <w:r w:rsidRPr="00B142A2"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t/a、</w:t>
      </w:r>
      <w:r w:rsidR="008B3A25"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0.196</w:t>
      </w:r>
      <w:r w:rsidRPr="00B142A2"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t/a。</w:t>
      </w:r>
    </w:p>
    <w:p w:rsidR="00711B7B" w:rsidRPr="00B142A2" w:rsidRDefault="008457F9" w:rsidP="00711B7B">
      <w:pPr>
        <w:spacing w:line="700" w:lineRule="exact"/>
        <w:ind w:firstLineChars="200" w:firstLine="640"/>
        <w:rPr>
          <w:rFonts w:ascii="文星仿宋" w:eastAsia="文星仿宋" w:hAnsi="文星仿宋" w:cs="宋体"/>
          <w:sz w:val="32"/>
          <w:szCs w:val="32"/>
        </w:rPr>
      </w:pPr>
      <w:r w:rsidRPr="00B142A2">
        <w:rPr>
          <w:rFonts w:ascii="文星仿宋" w:eastAsia="文星仿宋" w:hAnsi="文星仿宋" w:cs="宋体" w:hint="eastAsia"/>
          <w:color w:val="000000"/>
          <w:sz w:val="32"/>
          <w:szCs w:val="32"/>
        </w:rPr>
        <w:t>（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七）</w:t>
      </w:r>
      <w:r w:rsidR="00711B7B" w:rsidRPr="00B142A2">
        <w:rPr>
          <w:rFonts w:ascii="文星仿宋" w:eastAsia="文星仿宋" w:hAnsi="文星仿宋" w:cs="宋体" w:hint="eastAsia"/>
          <w:sz w:val="32"/>
          <w:szCs w:val="32"/>
        </w:rPr>
        <w:t>落实报告书中提出的环境风险防范措施，制定相应的环境风险预案，配备必要的应急设备。为防止事故发生时产生废水直接外排，建设一座</w:t>
      </w:r>
      <w:r w:rsidR="008B3A25">
        <w:rPr>
          <w:rFonts w:ascii="文星仿宋" w:eastAsia="文星仿宋" w:hAnsi="文星仿宋" w:cs="宋体" w:hint="eastAsia"/>
          <w:sz w:val="32"/>
          <w:szCs w:val="32"/>
        </w:rPr>
        <w:t>4</w:t>
      </w:r>
      <w:r w:rsidR="00711B7B" w:rsidRPr="00B142A2">
        <w:rPr>
          <w:rFonts w:ascii="文星仿宋" w:eastAsia="文星仿宋" w:hAnsi="文星仿宋" w:cs="宋体" w:hint="eastAsia"/>
          <w:sz w:val="32"/>
          <w:szCs w:val="32"/>
        </w:rPr>
        <w:t>0立方米的事故应急水池，将事故风险环境影响降到最低。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142A2">
        <w:rPr>
          <w:rFonts w:ascii="黑体" w:eastAsia="黑体" w:hAnsi="黑体" w:hint="eastAsia"/>
          <w:color w:val="000000"/>
          <w:sz w:val="32"/>
          <w:szCs w:val="32"/>
        </w:rPr>
        <w:lastRenderedPageBreak/>
        <w:t>三、严格落实“三同时”制度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你公司必须严格执行配套建设的环境保设施与主体工程同时设计、同时施工、同时投入使用的“三同时”制度。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142A2">
        <w:rPr>
          <w:rFonts w:ascii="黑体" w:eastAsia="黑体" w:hAnsi="黑体" w:hint="eastAsia"/>
          <w:color w:val="000000"/>
          <w:sz w:val="32"/>
          <w:szCs w:val="32"/>
        </w:rPr>
        <w:t>四、其他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若项目性质、规模、地点或防治污染、防止生态破坏的措施发生了重大变动，应向我局重新报批环境影响评价文件；项目正式投产后三个月内，应按相关法律法规要求向我局申请环保验收，新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《建设项目环境保护</w:t>
      </w:r>
      <w:hyperlink r:id="rId8" w:tgtFrame="_blank" w:history="1">
        <w:r w:rsidRPr="00B142A2">
          <w:rPr>
            <w:rFonts w:ascii="文星仿宋" w:eastAsia="文星仿宋" w:hAnsi="文星仿宋"/>
            <w:color w:val="000000"/>
            <w:sz w:val="32"/>
            <w:szCs w:val="32"/>
          </w:rPr>
          <w:t>管理</w:t>
        </w:r>
      </w:hyperlink>
      <w:hyperlink r:id="rId9" w:tgtFrame="_blank" w:history="1">
        <w:r w:rsidRPr="00B142A2">
          <w:rPr>
            <w:rFonts w:ascii="文星仿宋" w:eastAsia="文星仿宋" w:hAnsi="文星仿宋"/>
            <w:color w:val="000000"/>
            <w:sz w:val="32"/>
            <w:szCs w:val="32"/>
          </w:rPr>
          <w:t>条例</w:t>
        </w:r>
      </w:hyperlink>
      <w:r w:rsidRPr="00B142A2">
        <w:rPr>
          <w:rFonts w:ascii="文星仿宋" w:eastAsia="文星仿宋" w:hAnsi="文星仿宋"/>
          <w:color w:val="000000"/>
          <w:sz w:val="32"/>
          <w:szCs w:val="32"/>
        </w:rPr>
        <w:t>》</w:t>
      </w: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实施后，按照相关要求开展验收工作。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本项目的环境影响评价文件自批准之日起超过五年，方决定该项目开工建设的，其环境影响评价文件应当报我局重新审核。</w:t>
      </w:r>
    </w:p>
    <w:p w:rsidR="004D42EA" w:rsidRPr="00B142A2" w:rsidRDefault="004D42EA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</w:p>
    <w:p w:rsidR="004D42EA" w:rsidRPr="00B142A2" w:rsidRDefault="008457F9">
      <w:pPr>
        <w:spacing w:line="700" w:lineRule="exact"/>
        <w:ind w:firstLineChars="200" w:firstLine="640"/>
        <w:jc w:val="right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 xml:space="preserve">临沂市环境保护局高新技术产业开发区分局                                          </w:t>
      </w:r>
    </w:p>
    <w:p w:rsidR="004D42EA" w:rsidRPr="00B142A2" w:rsidRDefault="008457F9">
      <w:pPr>
        <w:spacing w:line="700" w:lineRule="exact"/>
        <w:ind w:right="640" w:firstLineChars="200" w:firstLine="640"/>
        <w:jc w:val="center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 xml:space="preserve">                              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201</w:t>
      </w: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7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年</w:t>
      </w: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9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月</w:t>
      </w:r>
      <w:r w:rsidR="000D1C45">
        <w:rPr>
          <w:rFonts w:ascii="文星仿宋" w:eastAsia="文星仿宋" w:hAnsi="文星仿宋" w:hint="eastAsia"/>
          <w:color w:val="000000"/>
          <w:sz w:val="32"/>
          <w:szCs w:val="32"/>
        </w:rPr>
        <w:t>25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日</w:t>
      </w: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 xml:space="preserve">    </w:t>
      </w:r>
      <w:bookmarkStart w:id="0" w:name="_GoBack"/>
      <w:bookmarkEnd w:id="0"/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 xml:space="preserve">  </w:t>
      </w:r>
    </w:p>
    <w:sectPr w:rsidR="004D42EA" w:rsidRPr="00B142A2" w:rsidSect="004D42EA">
      <w:headerReference w:type="default" r:id="rId10"/>
      <w:footerReference w:type="even" r:id="rId11"/>
      <w:footerReference w:type="default" r:id="rId12"/>
      <w:pgSz w:w="11906" w:h="16838"/>
      <w:pgMar w:top="1701" w:right="170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21" w:rsidRDefault="00935A21" w:rsidP="004D42EA">
      <w:r>
        <w:separator/>
      </w:r>
    </w:p>
  </w:endnote>
  <w:endnote w:type="continuationSeparator" w:id="1">
    <w:p w:rsidR="00935A21" w:rsidRDefault="00935A21" w:rsidP="004D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仿宋_GB2312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宋体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A" w:rsidRDefault="00F93AA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8457F9">
      <w:rPr>
        <w:rStyle w:val="a6"/>
      </w:rPr>
      <w:instrText xml:space="preserve">PAGE  </w:instrText>
    </w:r>
    <w:r>
      <w:fldChar w:fldCharType="end"/>
    </w:r>
  </w:p>
  <w:p w:rsidR="004D42EA" w:rsidRDefault="004D42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A" w:rsidRDefault="008457F9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rFonts w:hint="eastAsia"/>
        <w:sz w:val="24"/>
        <w:szCs w:val="24"/>
      </w:rPr>
      <w:t>－</w:t>
    </w:r>
    <w:r w:rsidR="00F93AAE"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 w:rsidR="00F93AAE">
      <w:rPr>
        <w:sz w:val="24"/>
        <w:szCs w:val="24"/>
      </w:rPr>
      <w:fldChar w:fldCharType="separate"/>
    </w:r>
    <w:r w:rsidR="000D1C45">
      <w:rPr>
        <w:rStyle w:val="a6"/>
        <w:noProof/>
        <w:sz w:val="24"/>
        <w:szCs w:val="24"/>
      </w:rPr>
      <w:t>5</w:t>
    </w:r>
    <w:r w:rsidR="00F93AAE">
      <w:rPr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>－</w:t>
    </w:r>
  </w:p>
  <w:p w:rsidR="004D42EA" w:rsidRDefault="004D42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21" w:rsidRDefault="00935A21" w:rsidP="004D42EA">
      <w:r>
        <w:separator/>
      </w:r>
    </w:p>
  </w:footnote>
  <w:footnote w:type="continuationSeparator" w:id="1">
    <w:p w:rsidR="00935A21" w:rsidRDefault="00935A21" w:rsidP="004D4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A" w:rsidRDefault="004D42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C105"/>
    <w:multiLevelType w:val="singleLevel"/>
    <w:tmpl w:val="58C0C105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CB00A2"/>
    <w:rsid w:val="000356FC"/>
    <w:rsid w:val="000870A2"/>
    <w:rsid w:val="000942C2"/>
    <w:rsid w:val="000D1C45"/>
    <w:rsid w:val="000F6D49"/>
    <w:rsid w:val="00114F5E"/>
    <w:rsid w:val="00150055"/>
    <w:rsid w:val="00192DA4"/>
    <w:rsid w:val="00197A94"/>
    <w:rsid w:val="001F4E7A"/>
    <w:rsid w:val="002122A8"/>
    <w:rsid w:val="002D3C77"/>
    <w:rsid w:val="002F0C12"/>
    <w:rsid w:val="002F6096"/>
    <w:rsid w:val="00340CA8"/>
    <w:rsid w:val="003478B4"/>
    <w:rsid w:val="00353973"/>
    <w:rsid w:val="003B6187"/>
    <w:rsid w:val="00405913"/>
    <w:rsid w:val="00406F78"/>
    <w:rsid w:val="00410C6A"/>
    <w:rsid w:val="004246B3"/>
    <w:rsid w:val="004553B2"/>
    <w:rsid w:val="00456DBE"/>
    <w:rsid w:val="004606AA"/>
    <w:rsid w:val="00475DC2"/>
    <w:rsid w:val="00485A2E"/>
    <w:rsid w:val="004964E4"/>
    <w:rsid w:val="004A72B8"/>
    <w:rsid w:val="004D42EA"/>
    <w:rsid w:val="004D5CFC"/>
    <w:rsid w:val="004E327B"/>
    <w:rsid w:val="005167B9"/>
    <w:rsid w:val="00517407"/>
    <w:rsid w:val="00573C32"/>
    <w:rsid w:val="005924DA"/>
    <w:rsid w:val="005B6057"/>
    <w:rsid w:val="005E5DE1"/>
    <w:rsid w:val="005F197C"/>
    <w:rsid w:val="005F6F5F"/>
    <w:rsid w:val="00602686"/>
    <w:rsid w:val="00615B4F"/>
    <w:rsid w:val="00630147"/>
    <w:rsid w:val="00656FBF"/>
    <w:rsid w:val="00671771"/>
    <w:rsid w:val="006D7C50"/>
    <w:rsid w:val="006D7D8E"/>
    <w:rsid w:val="00703CEB"/>
    <w:rsid w:val="00711B7B"/>
    <w:rsid w:val="00713F51"/>
    <w:rsid w:val="00717356"/>
    <w:rsid w:val="00773A3E"/>
    <w:rsid w:val="007C4AC6"/>
    <w:rsid w:val="007C561C"/>
    <w:rsid w:val="007E61EC"/>
    <w:rsid w:val="0082447A"/>
    <w:rsid w:val="008457F9"/>
    <w:rsid w:val="0086605B"/>
    <w:rsid w:val="008673B5"/>
    <w:rsid w:val="00876D90"/>
    <w:rsid w:val="00877B26"/>
    <w:rsid w:val="008B3A25"/>
    <w:rsid w:val="008E6892"/>
    <w:rsid w:val="00920462"/>
    <w:rsid w:val="00935A21"/>
    <w:rsid w:val="00942207"/>
    <w:rsid w:val="00947045"/>
    <w:rsid w:val="009A6365"/>
    <w:rsid w:val="00A3476C"/>
    <w:rsid w:val="00A41BDA"/>
    <w:rsid w:val="00A41D9C"/>
    <w:rsid w:val="00A77405"/>
    <w:rsid w:val="00A956DD"/>
    <w:rsid w:val="00AC1D01"/>
    <w:rsid w:val="00B142A2"/>
    <w:rsid w:val="00B57F94"/>
    <w:rsid w:val="00B87343"/>
    <w:rsid w:val="00BF0EBC"/>
    <w:rsid w:val="00BF2D1A"/>
    <w:rsid w:val="00BF77B9"/>
    <w:rsid w:val="00C0647F"/>
    <w:rsid w:val="00C5276D"/>
    <w:rsid w:val="00C912DA"/>
    <w:rsid w:val="00CA503B"/>
    <w:rsid w:val="00CA6938"/>
    <w:rsid w:val="00CB159B"/>
    <w:rsid w:val="00CB1E12"/>
    <w:rsid w:val="00D447BA"/>
    <w:rsid w:val="00D61EA1"/>
    <w:rsid w:val="00D62F88"/>
    <w:rsid w:val="00DC58CE"/>
    <w:rsid w:val="00E061FB"/>
    <w:rsid w:val="00E66155"/>
    <w:rsid w:val="00EA2588"/>
    <w:rsid w:val="00EC226F"/>
    <w:rsid w:val="00EC39E7"/>
    <w:rsid w:val="00F01F8F"/>
    <w:rsid w:val="00F04BB9"/>
    <w:rsid w:val="00F21007"/>
    <w:rsid w:val="00F46B19"/>
    <w:rsid w:val="00F93AAE"/>
    <w:rsid w:val="00FB51BC"/>
    <w:rsid w:val="075B0021"/>
    <w:rsid w:val="0855132B"/>
    <w:rsid w:val="13D910B7"/>
    <w:rsid w:val="18D70FE6"/>
    <w:rsid w:val="1E777800"/>
    <w:rsid w:val="268152EC"/>
    <w:rsid w:val="26A04301"/>
    <w:rsid w:val="2B0446DA"/>
    <w:rsid w:val="2D4A6FC9"/>
    <w:rsid w:val="2ECB2CE0"/>
    <w:rsid w:val="310F0F01"/>
    <w:rsid w:val="3C4D2655"/>
    <w:rsid w:val="3EA928E6"/>
    <w:rsid w:val="404419B1"/>
    <w:rsid w:val="42D61640"/>
    <w:rsid w:val="43B06C28"/>
    <w:rsid w:val="43CA5C21"/>
    <w:rsid w:val="51CB00A2"/>
    <w:rsid w:val="54B173D9"/>
    <w:rsid w:val="5F9F510F"/>
    <w:rsid w:val="5FE21E8A"/>
    <w:rsid w:val="71A95FC1"/>
    <w:rsid w:val="7765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Indent 3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2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D42EA"/>
    <w:pPr>
      <w:spacing w:after="120"/>
    </w:pPr>
  </w:style>
  <w:style w:type="paragraph" w:styleId="a4">
    <w:name w:val="footer"/>
    <w:basedOn w:val="a"/>
    <w:qFormat/>
    <w:rsid w:val="004D4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D4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4D42EA"/>
    <w:pPr>
      <w:spacing w:line="540" w:lineRule="exact"/>
      <w:ind w:firstLineChars="200" w:firstLine="640"/>
    </w:pPr>
    <w:rPr>
      <w:rFonts w:ascii="仿宋_GB2312" w:eastAsia="仿宋_GB2312" w:hAnsi="Calibri" w:cs="Times New Roman"/>
      <w:sz w:val="32"/>
    </w:rPr>
  </w:style>
  <w:style w:type="character" w:styleId="a6">
    <w:name w:val="page number"/>
    <w:basedOn w:val="a0"/>
    <w:qFormat/>
    <w:rsid w:val="004D42EA"/>
  </w:style>
  <w:style w:type="character" w:styleId="a7">
    <w:name w:val="Hyperlink"/>
    <w:basedOn w:val="a0"/>
    <w:uiPriority w:val="99"/>
    <w:unhideWhenUsed/>
    <w:qFormat/>
    <w:rsid w:val="004D42EA"/>
    <w:rPr>
      <w:color w:val="0000FF"/>
      <w:u w:val="single"/>
    </w:rPr>
  </w:style>
  <w:style w:type="character" w:customStyle="1" w:styleId="3Char">
    <w:name w:val="正文文本缩进 3 Char"/>
    <w:basedOn w:val="a0"/>
    <w:link w:val="3"/>
    <w:qFormat/>
    <w:rsid w:val="004D42EA"/>
    <w:rPr>
      <w:rFonts w:ascii="仿宋_GB2312" w:eastAsia="仿宋_GB2312" w:hAnsi="Calibri" w:cs="Times New Roman"/>
      <w:kern w:val="2"/>
      <w:sz w:val="32"/>
      <w:szCs w:val="24"/>
    </w:rPr>
  </w:style>
  <w:style w:type="paragraph" w:customStyle="1" w:styleId="1">
    <w:name w:val="列出段落1"/>
    <w:basedOn w:val="a"/>
    <w:uiPriority w:val="99"/>
    <w:unhideWhenUsed/>
    <w:qFormat/>
    <w:rsid w:val="004D42EA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4D42EA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4D42EA"/>
    <w:pPr>
      <w:jc w:val="left"/>
    </w:pPr>
    <w:rPr>
      <w:kern w:val="0"/>
      <w:sz w:val="22"/>
      <w:szCs w:val="22"/>
      <w:lang w:eastAsia="en-US"/>
    </w:rPr>
  </w:style>
  <w:style w:type="character" w:customStyle="1" w:styleId="fontstyle01">
    <w:name w:val="fontstyle01"/>
    <w:basedOn w:val="a0"/>
    <w:qFormat/>
    <w:rsid w:val="004D42EA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AE%A1%E7%90%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9D%A1%E4%BE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2017-08-07T00:50:00Z</cp:lastPrinted>
  <dcterms:created xsi:type="dcterms:W3CDTF">2017-09-19T02:28:00Z</dcterms:created>
  <dcterms:modified xsi:type="dcterms:W3CDTF">2017-09-24T02:08:00Z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