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2EA" w:rsidRDefault="004D42EA">
      <w:pPr>
        <w:jc w:val="center"/>
        <w:rPr>
          <w:rFonts w:ascii="仿宋_GB2312" w:eastAsia="仿宋_GB2312"/>
          <w:color w:val="000000"/>
          <w:sz w:val="32"/>
          <w:szCs w:val="32"/>
        </w:rPr>
      </w:pPr>
    </w:p>
    <w:p w:rsidR="004D42EA" w:rsidRDefault="004D42EA">
      <w:pPr>
        <w:jc w:val="center"/>
        <w:rPr>
          <w:rFonts w:ascii="仿宋_GB2312" w:eastAsia="仿宋_GB2312"/>
          <w:color w:val="000000"/>
          <w:sz w:val="32"/>
          <w:szCs w:val="32"/>
        </w:rPr>
      </w:pPr>
    </w:p>
    <w:p w:rsidR="004D42EA" w:rsidRDefault="004D42EA">
      <w:pPr>
        <w:jc w:val="center"/>
        <w:rPr>
          <w:rFonts w:ascii="仿宋_GB2312" w:eastAsia="仿宋_GB2312"/>
          <w:color w:val="000000"/>
          <w:sz w:val="32"/>
          <w:szCs w:val="32"/>
        </w:rPr>
      </w:pPr>
    </w:p>
    <w:p w:rsidR="004D42EA" w:rsidRDefault="008457F9">
      <w:pPr>
        <w:jc w:val="right"/>
        <w:rPr>
          <w:rFonts w:ascii="文星仿宋" w:eastAsia="文星仿宋" w:hAnsi="文星仿宋"/>
          <w:color w:val="000000"/>
          <w:sz w:val="32"/>
          <w:szCs w:val="32"/>
        </w:rPr>
      </w:pPr>
      <w:r>
        <w:rPr>
          <w:rFonts w:ascii="文星仿宋" w:eastAsia="文星仿宋" w:hAnsi="文星仿宋" w:hint="eastAsia"/>
          <w:color w:val="000000"/>
          <w:sz w:val="32"/>
          <w:szCs w:val="32"/>
        </w:rPr>
        <w:t>临环高书〔2017〕4号</w:t>
      </w:r>
    </w:p>
    <w:p w:rsidR="004D42EA" w:rsidRDefault="004D42EA">
      <w:pPr>
        <w:jc w:val="center"/>
        <w:rPr>
          <w:rFonts w:ascii="黑体" w:eastAsia="黑体"/>
          <w:color w:val="000000"/>
          <w:sz w:val="44"/>
          <w:szCs w:val="44"/>
        </w:rPr>
      </w:pPr>
    </w:p>
    <w:p w:rsidR="004D42EA" w:rsidRDefault="008457F9">
      <w:pPr>
        <w:spacing w:line="600" w:lineRule="exact"/>
        <w:jc w:val="center"/>
        <w:rPr>
          <w:rFonts w:ascii="方正小标宋简体" w:eastAsia="方正小标宋简体" w:hAnsi="Times New Roman" w:cs="Times New Roman"/>
          <w:color w:val="000000"/>
          <w:w w:val="98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color w:val="000000"/>
          <w:w w:val="98"/>
          <w:sz w:val="44"/>
          <w:szCs w:val="44"/>
        </w:rPr>
        <w:t>关于临沂利永车业有限公司</w:t>
      </w:r>
    </w:p>
    <w:p w:rsidR="004D42EA" w:rsidRDefault="008457F9">
      <w:pPr>
        <w:spacing w:line="600" w:lineRule="exact"/>
        <w:jc w:val="center"/>
        <w:rPr>
          <w:rFonts w:ascii="方正小标宋简体" w:eastAsia="方正小标宋简体" w:hAnsi="文星标宋" w:cs="文星标宋"/>
          <w:spacing w:val="-10"/>
          <w:sz w:val="44"/>
          <w:szCs w:val="44"/>
        </w:rPr>
      </w:pPr>
      <w:r>
        <w:rPr>
          <w:rFonts w:ascii="方正小标宋简体" w:eastAsia="方正小标宋简体" w:hAnsi="文星标宋" w:hint="eastAsia"/>
          <w:color w:val="000000"/>
          <w:spacing w:val="-12"/>
          <w:sz w:val="44"/>
          <w:szCs w:val="44"/>
        </w:rPr>
        <w:t>年产15000辆电动车项目环境影响评价报告书的批复</w:t>
      </w:r>
    </w:p>
    <w:p w:rsidR="004D42EA" w:rsidRDefault="004D42EA">
      <w:pPr>
        <w:rPr>
          <w:rFonts w:ascii="仿宋_GB2312" w:eastAsia="仿宋_GB2312"/>
          <w:color w:val="000000"/>
          <w:sz w:val="32"/>
          <w:szCs w:val="32"/>
        </w:rPr>
      </w:pPr>
    </w:p>
    <w:p w:rsidR="004D42EA" w:rsidRDefault="008457F9">
      <w:pPr>
        <w:pStyle w:val="3"/>
        <w:spacing w:line="700" w:lineRule="exact"/>
        <w:ind w:firstLineChars="0" w:firstLine="0"/>
        <w:contextualSpacing/>
        <w:rPr>
          <w:rFonts w:ascii="Times New Roman" w:eastAsia="文星仿宋" w:hAnsi="Times New Roman"/>
          <w:color w:val="000000"/>
          <w:w w:val="98"/>
          <w:szCs w:val="32"/>
        </w:rPr>
      </w:pPr>
      <w:r>
        <w:rPr>
          <w:rFonts w:ascii="Times New Roman" w:eastAsia="文星仿宋" w:hAnsi="Times New Roman" w:hint="eastAsia"/>
          <w:color w:val="000000"/>
          <w:w w:val="98"/>
          <w:szCs w:val="32"/>
        </w:rPr>
        <w:t>临沂利永车业有限公司</w:t>
      </w:r>
      <w:r>
        <w:rPr>
          <w:rFonts w:ascii="Times New Roman" w:eastAsia="文星仿宋" w:hAnsi="Times New Roman"/>
          <w:color w:val="000000"/>
          <w:w w:val="98"/>
          <w:szCs w:val="32"/>
        </w:rPr>
        <w:t>：</w:t>
      </w:r>
    </w:p>
    <w:p w:rsidR="004D42EA" w:rsidRDefault="008457F9">
      <w:pPr>
        <w:spacing w:line="700" w:lineRule="exact"/>
        <w:ind w:firstLineChars="200" w:firstLine="608"/>
        <w:rPr>
          <w:rFonts w:ascii="文星仿宋" w:eastAsia="文星仿宋" w:hAnsi="文星仿宋"/>
          <w:color w:val="000000"/>
          <w:spacing w:val="-8"/>
          <w:sz w:val="32"/>
          <w:szCs w:val="32"/>
        </w:rPr>
      </w:pPr>
      <w:r>
        <w:rPr>
          <w:rFonts w:ascii="文星仿宋" w:eastAsia="文星仿宋" w:hAnsi="文星仿宋" w:hint="eastAsia"/>
          <w:color w:val="000000"/>
          <w:spacing w:val="-8"/>
          <w:sz w:val="32"/>
          <w:szCs w:val="32"/>
        </w:rPr>
        <w:t>你单位提报的《</w:t>
      </w:r>
      <w:r>
        <w:rPr>
          <w:rFonts w:ascii="文星仿宋" w:eastAsia="文星仿宋" w:hAnsi="文星仿宋" w:cs="Times New Roman" w:hint="eastAsia"/>
          <w:color w:val="000000"/>
          <w:spacing w:val="-8"/>
          <w:sz w:val="32"/>
          <w:szCs w:val="32"/>
        </w:rPr>
        <w:t>临沂利永车业有限公司年产15000辆电动车项目</w:t>
      </w:r>
      <w:r>
        <w:rPr>
          <w:rFonts w:ascii="文星仿宋" w:eastAsia="文星仿宋" w:hAnsi="文星仿宋" w:hint="eastAsia"/>
          <w:color w:val="000000"/>
          <w:spacing w:val="-8"/>
          <w:sz w:val="32"/>
          <w:szCs w:val="32"/>
        </w:rPr>
        <w:t>环境影响评价报告书》已收悉。经研究，批复如下：</w:t>
      </w:r>
    </w:p>
    <w:p w:rsidR="004D42EA" w:rsidRDefault="008457F9">
      <w:pPr>
        <w:spacing w:line="700" w:lineRule="exact"/>
        <w:ind w:firstLineChars="200" w:firstLine="640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一、基本情况</w:t>
      </w:r>
    </w:p>
    <w:p w:rsidR="00EE704E" w:rsidRPr="00EE704E" w:rsidRDefault="008457F9" w:rsidP="00EE704E">
      <w:pPr>
        <w:pStyle w:val="a3"/>
        <w:spacing w:after="0" w:line="700" w:lineRule="exact"/>
        <w:ind w:firstLineChars="200" w:firstLine="608"/>
        <w:rPr>
          <w:rFonts w:ascii="文星仿宋" w:eastAsia="文星仿宋" w:hAnsi="文星仿宋" w:cs="Times New Roman" w:hint="eastAsia"/>
          <w:color w:val="000000"/>
          <w:spacing w:val="-8"/>
          <w:sz w:val="32"/>
          <w:szCs w:val="32"/>
        </w:rPr>
      </w:pPr>
      <w:r>
        <w:rPr>
          <w:rFonts w:ascii="文星仿宋" w:eastAsia="文星仿宋" w:hAnsi="文星仿宋" w:cs="Times New Roman"/>
          <w:color w:val="000000"/>
          <w:spacing w:val="-8"/>
          <w:sz w:val="32"/>
          <w:szCs w:val="32"/>
        </w:rPr>
        <w:t>该项目位于</w:t>
      </w:r>
      <w:r>
        <w:rPr>
          <w:rFonts w:ascii="文星仿宋" w:eastAsia="文星仿宋" w:hAnsi="文星仿宋" w:cs="Times New Roman" w:hint="eastAsia"/>
          <w:color w:val="000000"/>
          <w:spacing w:val="-8"/>
          <w:sz w:val="32"/>
          <w:szCs w:val="32"/>
        </w:rPr>
        <w:t>山东省临沂市高新区东磊石村东</w:t>
      </w:r>
      <w:r w:rsidR="00EE704E">
        <w:rPr>
          <w:rFonts w:ascii="文星仿宋" w:eastAsia="文星仿宋" w:hAnsi="文星仿宋" w:cs="Times New Roman" w:hint="eastAsia"/>
          <w:color w:val="000000"/>
          <w:spacing w:val="-8"/>
          <w:sz w:val="32"/>
          <w:szCs w:val="32"/>
        </w:rPr>
        <w:t>,</w:t>
      </w:r>
      <w:r w:rsidR="00EE704E" w:rsidRPr="00EE704E">
        <w:rPr>
          <w:rFonts w:ascii="Times New Roman" w:eastAsia="文星仿宋" w:hAnsi="Times New Roman" w:hint="eastAsia"/>
          <w:w w:val="98"/>
          <w:sz w:val="32"/>
          <w:szCs w:val="32"/>
        </w:rPr>
        <w:t xml:space="preserve"> </w:t>
      </w:r>
      <w:r w:rsidR="00EE704E">
        <w:rPr>
          <w:rFonts w:ascii="Times New Roman" w:eastAsia="文星仿宋" w:hAnsi="Times New Roman" w:hint="eastAsia"/>
          <w:w w:val="98"/>
          <w:sz w:val="32"/>
          <w:szCs w:val="32"/>
        </w:rPr>
        <w:t>项目为新建（补办手续）。</w:t>
      </w:r>
      <w:r w:rsidR="002D3C77">
        <w:rPr>
          <w:rFonts w:ascii="文星仿宋" w:eastAsia="文星仿宋" w:hAnsi="文星仿宋" w:cs="Times New Roman"/>
          <w:color w:val="000000"/>
          <w:spacing w:val="-8"/>
          <w:sz w:val="32"/>
          <w:szCs w:val="32"/>
        </w:rPr>
        <w:t>项目</w:t>
      </w:r>
      <w:r w:rsidR="002D3C77">
        <w:rPr>
          <w:rFonts w:ascii="文星仿宋" w:eastAsia="文星仿宋" w:hAnsi="文星仿宋" w:cs="Times New Roman" w:hint="eastAsia"/>
          <w:color w:val="000000"/>
          <w:spacing w:val="-8"/>
          <w:sz w:val="32"/>
          <w:szCs w:val="32"/>
        </w:rPr>
        <w:t>总</w:t>
      </w:r>
      <w:r w:rsidR="002D3C77">
        <w:rPr>
          <w:rFonts w:ascii="文星仿宋" w:eastAsia="文星仿宋" w:hAnsi="文星仿宋" w:cs="Times New Roman"/>
          <w:color w:val="000000"/>
          <w:spacing w:val="-8"/>
          <w:sz w:val="32"/>
          <w:szCs w:val="32"/>
        </w:rPr>
        <w:t>投资</w:t>
      </w:r>
      <w:r w:rsidR="002D3C77">
        <w:rPr>
          <w:rFonts w:ascii="文星仿宋" w:eastAsia="文星仿宋" w:hAnsi="文星仿宋" w:cs="Times New Roman" w:hint="eastAsia"/>
          <w:color w:val="000000"/>
          <w:spacing w:val="-8"/>
          <w:sz w:val="32"/>
          <w:szCs w:val="32"/>
        </w:rPr>
        <w:t>860</w:t>
      </w:r>
      <w:r w:rsidR="002D3C77">
        <w:rPr>
          <w:rFonts w:ascii="文星仿宋" w:eastAsia="文星仿宋" w:hAnsi="文星仿宋" w:cs="Times New Roman"/>
          <w:color w:val="000000"/>
          <w:spacing w:val="-8"/>
          <w:sz w:val="32"/>
          <w:szCs w:val="32"/>
        </w:rPr>
        <w:t>万元，其中环保投资</w:t>
      </w:r>
      <w:r w:rsidR="002D3C77">
        <w:rPr>
          <w:rFonts w:ascii="文星仿宋" w:eastAsia="文星仿宋" w:hAnsi="文星仿宋" w:cs="Times New Roman" w:hint="eastAsia"/>
          <w:color w:val="000000"/>
          <w:spacing w:val="-8"/>
          <w:sz w:val="32"/>
          <w:szCs w:val="32"/>
        </w:rPr>
        <w:t>50</w:t>
      </w:r>
      <w:r w:rsidR="002D3C77">
        <w:rPr>
          <w:rFonts w:ascii="文星仿宋" w:eastAsia="文星仿宋" w:hAnsi="文星仿宋" w:cs="Times New Roman"/>
          <w:color w:val="000000"/>
          <w:spacing w:val="-8"/>
          <w:sz w:val="32"/>
          <w:szCs w:val="32"/>
        </w:rPr>
        <w:t>万元</w:t>
      </w:r>
      <w:r w:rsidR="002D3C77">
        <w:rPr>
          <w:rFonts w:ascii="文星仿宋" w:eastAsia="文星仿宋" w:hAnsi="文星仿宋" w:cs="Times New Roman" w:hint="eastAsia"/>
          <w:color w:val="000000"/>
          <w:spacing w:val="-8"/>
          <w:sz w:val="32"/>
          <w:szCs w:val="32"/>
        </w:rPr>
        <w:t>。</w:t>
      </w:r>
      <w:r>
        <w:rPr>
          <w:rFonts w:ascii="Times New Roman" w:eastAsia="文星仿宋" w:hAnsi="Times New Roman"/>
          <w:w w:val="98"/>
          <w:sz w:val="32"/>
          <w:szCs w:val="32"/>
        </w:rPr>
        <w:t>项目主要建设内容包括</w:t>
      </w:r>
      <w:r>
        <w:rPr>
          <w:rFonts w:ascii="Times New Roman" w:eastAsia="文星仿宋" w:hAnsi="Times New Roman" w:hint="eastAsia"/>
          <w:w w:val="98"/>
          <w:sz w:val="32"/>
          <w:szCs w:val="32"/>
        </w:rPr>
        <w:t>机加工车间、焊接车间、涂装车间、总装车间、辅助工程等。</w:t>
      </w:r>
    </w:p>
    <w:p w:rsidR="004D42EA" w:rsidRDefault="008457F9" w:rsidP="00EE704E">
      <w:pPr>
        <w:pStyle w:val="a3"/>
        <w:spacing w:after="0" w:line="700" w:lineRule="exact"/>
        <w:ind w:firstLineChars="200" w:firstLine="608"/>
        <w:rPr>
          <w:rFonts w:ascii="文星仿宋" w:eastAsia="文星仿宋" w:hAnsi="文星仿宋" w:cs="Times New Roman"/>
          <w:color w:val="000000"/>
          <w:spacing w:val="-8"/>
          <w:sz w:val="32"/>
          <w:szCs w:val="32"/>
        </w:rPr>
      </w:pPr>
      <w:r>
        <w:rPr>
          <w:rFonts w:ascii="文星仿宋" w:eastAsia="文星仿宋" w:hAnsi="文星仿宋" w:cs="Times New Roman" w:hint="eastAsia"/>
          <w:color w:val="000000"/>
          <w:spacing w:val="-8"/>
          <w:sz w:val="32"/>
          <w:szCs w:val="32"/>
        </w:rPr>
        <w:t>在落实报告书所提出的各项环保措施、风险防范措施后，</w:t>
      </w:r>
      <w:r>
        <w:rPr>
          <w:rFonts w:ascii="文星仿宋" w:eastAsia="文星仿宋" w:hAnsi="文星仿宋" w:hint="eastAsia"/>
          <w:color w:val="000000"/>
          <w:spacing w:val="-8"/>
          <w:sz w:val="32"/>
          <w:szCs w:val="32"/>
        </w:rPr>
        <w:t>污染物可达标排放，从环境保护角度，该项目建设可行。</w:t>
      </w:r>
    </w:p>
    <w:p w:rsidR="004D42EA" w:rsidRDefault="008457F9">
      <w:pPr>
        <w:spacing w:line="700" w:lineRule="exact"/>
        <w:ind w:firstLineChars="200" w:firstLine="640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二、项目建设及运行管理中应重点做好以下工作</w:t>
      </w:r>
    </w:p>
    <w:p w:rsidR="004D42EA" w:rsidRDefault="008457F9">
      <w:pPr>
        <w:spacing w:line="700" w:lineRule="exact"/>
        <w:ind w:firstLineChars="200" w:firstLine="640"/>
        <w:rPr>
          <w:rFonts w:ascii="文星仿宋" w:eastAsia="文星仿宋" w:hAnsi="文星仿宋"/>
          <w:color w:val="000000"/>
          <w:sz w:val="32"/>
          <w:szCs w:val="32"/>
        </w:rPr>
      </w:pPr>
      <w:r>
        <w:rPr>
          <w:rFonts w:ascii="文星仿宋" w:eastAsia="文星仿宋" w:hAnsi="文星仿宋" w:hint="eastAsia"/>
          <w:color w:val="000000"/>
          <w:sz w:val="32"/>
          <w:szCs w:val="32"/>
        </w:rPr>
        <w:lastRenderedPageBreak/>
        <w:t>（一）加强环境管理，严格落实报告书提出的废气污染防治措施。</w:t>
      </w:r>
    </w:p>
    <w:p w:rsidR="004D42EA" w:rsidRDefault="008457F9">
      <w:pPr>
        <w:pStyle w:val="a3"/>
        <w:spacing w:after="0" w:line="700" w:lineRule="exact"/>
        <w:ind w:firstLineChars="200" w:firstLine="626"/>
        <w:rPr>
          <w:rFonts w:ascii="Times New Roman" w:eastAsia="文星仿宋" w:hAnsi="Times New Roman" w:cs="Times New Roman"/>
          <w:color w:val="000000"/>
          <w:w w:val="98"/>
          <w:sz w:val="32"/>
          <w:szCs w:val="32"/>
        </w:rPr>
      </w:pP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1</w:t>
      </w:r>
      <w:r w:rsidR="00942207"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、</w:t>
      </w:r>
      <w:r w:rsidR="002D3C77"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喷漆废气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经喷淋塔</w:t>
      </w:r>
      <w:r w:rsidR="002D3C77"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+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过滤棉</w:t>
      </w:r>
      <w:r w:rsidR="002D3C77"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+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UV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光</w:t>
      </w:r>
      <w:r w:rsidR="005B1898"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催化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氧化</w:t>
      </w:r>
      <w:r>
        <w:rPr>
          <w:rFonts w:ascii="Times New Roman" w:eastAsia="文星仿宋" w:hAnsi="Times New Roman" w:cs="Times New Roman"/>
          <w:color w:val="000000"/>
          <w:w w:val="98"/>
          <w:sz w:val="32"/>
          <w:szCs w:val="32"/>
        </w:rPr>
        <w:t>处理装置处理</w:t>
      </w:r>
      <w:r w:rsidR="00EE704E"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,</w:t>
      </w:r>
      <w:r w:rsidR="00EE704E"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烘干废气收集引至喷漆房</w:t>
      </w:r>
      <w:r w:rsidR="005B1898"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UV</w:t>
      </w:r>
      <w:r w:rsidR="005B1898"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光催化氧化</w:t>
      </w:r>
      <w:r w:rsidR="005B1898">
        <w:rPr>
          <w:rFonts w:ascii="Times New Roman" w:eastAsia="文星仿宋" w:hAnsi="Times New Roman" w:cs="Times New Roman"/>
          <w:color w:val="000000"/>
          <w:w w:val="98"/>
          <w:sz w:val="32"/>
          <w:szCs w:val="32"/>
        </w:rPr>
        <w:t>处理</w:t>
      </w:r>
      <w:r>
        <w:rPr>
          <w:rFonts w:ascii="Times New Roman" w:eastAsia="文星仿宋" w:hAnsi="Times New Roman" w:cs="Times New Roman"/>
          <w:color w:val="000000"/>
          <w:w w:val="98"/>
          <w:sz w:val="32"/>
          <w:szCs w:val="32"/>
        </w:rPr>
        <w:t>后</w:t>
      </w:r>
      <w:r w:rsidR="005B1898"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与喷漆废气</w:t>
      </w:r>
      <w:r>
        <w:rPr>
          <w:rFonts w:ascii="Times New Roman" w:eastAsia="文星仿宋" w:hAnsi="Times New Roman" w:cs="Times New Roman"/>
          <w:color w:val="000000"/>
          <w:w w:val="98"/>
          <w:sz w:val="32"/>
          <w:szCs w:val="32"/>
        </w:rPr>
        <w:t>由</w:t>
      </w:r>
      <w:r>
        <w:rPr>
          <w:rFonts w:ascii="Times New Roman" w:eastAsia="文星仿宋" w:hAnsi="Times New Roman" w:cs="Times New Roman"/>
          <w:color w:val="000000"/>
          <w:w w:val="98"/>
          <w:sz w:val="32"/>
          <w:szCs w:val="32"/>
        </w:rPr>
        <w:t>15m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高</w:t>
      </w:r>
      <w:r w:rsidR="002D3C77">
        <w:rPr>
          <w:rFonts w:ascii="Times New Roman" w:eastAsia="文星仿宋" w:hAnsi="Times New Roman" w:cs="Times New Roman"/>
          <w:color w:val="000000"/>
          <w:w w:val="98"/>
          <w:sz w:val="32"/>
          <w:szCs w:val="32"/>
        </w:rPr>
        <w:t>排气筒排放</w:t>
      </w:r>
      <w:r w:rsidR="00942207"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，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确保</w:t>
      </w:r>
      <w:r>
        <w:rPr>
          <w:rFonts w:ascii="Times New Roman" w:eastAsia="文星仿宋" w:hAnsi="Times New Roman" w:cs="Times New Roman"/>
          <w:color w:val="000000"/>
          <w:w w:val="98"/>
          <w:sz w:val="32"/>
          <w:szCs w:val="32"/>
        </w:rPr>
        <w:t>外排废气中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VOCs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排放浓度和排放速率满足《挥发性有机物排放标准第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 xml:space="preserve"> 1 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部分：汽车制造业》（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DB37/2801.1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－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2016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）表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1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标准</w:t>
      </w:r>
      <w:r>
        <w:rPr>
          <w:rFonts w:ascii="Times New Roman" w:eastAsia="文星仿宋" w:hAnsi="Times New Roman" w:cs="Times New Roman"/>
          <w:color w:val="000000"/>
          <w:w w:val="98"/>
          <w:sz w:val="32"/>
          <w:szCs w:val="32"/>
        </w:rPr>
        <w:t>要求</w:t>
      </w:r>
      <w:r w:rsidR="00942207"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，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漆雾颗粒排放浓度须满足《山东省区域性大气污染物综合排放标准》（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DB37/2376-2013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）表</w:t>
      </w:r>
      <w:r w:rsidR="00942207"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1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标准</w:t>
      </w:r>
      <w:r>
        <w:rPr>
          <w:rFonts w:ascii="Times New Roman" w:eastAsia="文星仿宋" w:hAnsi="Times New Roman" w:cs="Times New Roman"/>
          <w:color w:val="000000"/>
          <w:w w:val="98"/>
          <w:sz w:val="32"/>
          <w:szCs w:val="32"/>
        </w:rPr>
        <w:t>要求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。</w:t>
      </w:r>
    </w:p>
    <w:p w:rsidR="004D42EA" w:rsidRDefault="008457F9">
      <w:pPr>
        <w:spacing w:line="700" w:lineRule="exact"/>
        <w:ind w:firstLineChars="200" w:firstLine="626"/>
        <w:rPr>
          <w:rFonts w:ascii="Times New Roman" w:eastAsia="文星仿宋" w:hAnsi="Times New Roman" w:cs="Times New Roman"/>
          <w:color w:val="000000"/>
          <w:w w:val="98"/>
          <w:sz w:val="32"/>
          <w:szCs w:val="32"/>
        </w:rPr>
      </w:pP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2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、液化气燃烧产生的</w:t>
      </w:r>
      <w:r>
        <w:rPr>
          <w:rFonts w:ascii="Times New Roman" w:eastAsia="文星仿宋" w:hAnsi="Times New Roman" w:cs="Times New Roman"/>
          <w:color w:val="000000"/>
          <w:w w:val="98"/>
          <w:sz w:val="32"/>
          <w:szCs w:val="32"/>
        </w:rPr>
        <w:t>废气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经低氮燃烧装置处理后</w:t>
      </w:r>
      <w:r>
        <w:rPr>
          <w:rFonts w:ascii="Times New Roman" w:eastAsia="文星仿宋" w:hAnsi="Times New Roman" w:cs="Times New Roman"/>
          <w:color w:val="000000"/>
          <w:w w:val="98"/>
          <w:sz w:val="32"/>
          <w:szCs w:val="32"/>
        </w:rPr>
        <w:t>由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1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根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15m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高排气筒排放</w:t>
      </w:r>
      <w:r>
        <w:rPr>
          <w:rFonts w:ascii="Times New Roman" w:eastAsia="文星仿宋" w:hAnsi="Times New Roman" w:cs="Times New Roman"/>
          <w:color w:val="000000"/>
          <w:w w:val="98"/>
          <w:sz w:val="32"/>
          <w:szCs w:val="32"/>
        </w:rPr>
        <w:t>，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确保</w:t>
      </w:r>
      <w:r>
        <w:rPr>
          <w:rFonts w:ascii="Times New Roman" w:eastAsia="文星仿宋" w:hAnsi="Times New Roman" w:cs="Times New Roman"/>
          <w:color w:val="000000"/>
          <w:w w:val="98"/>
          <w:sz w:val="32"/>
          <w:szCs w:val="32"/>
        </w:rPr>
        <w:t>外排废气中</w:t>
      </w:r>
      <w:r>
        <w:rPr>
          <w:rFonts w:ascii="Times New Roman" w:eastAsia="文星仿宋" w:hAnsi="Times New Roman" w:cs="Times New Roman"/>
          <w:color w:val="000000"/>
          <w:w w:val="98"/>
          <w:sz w:val="32"/>
          <w:szCs w:val="32"/>
        </w:rPr>
        <w:t>SO</w:t>
      </w:r>
      <w:r w:rsidRPr="00942207">
        <w:rPr>
          <w:rFonts w:ascii="Times New Roman" w:eastAsia="文星仿宋" w:hAnsi="Times New Roman" w:cs="Times New Roman"/>
          <w:color w:val="000000"/>
          <w:w w:val="98"/>
          <w:sz w:val="32"/>
          <w:szCs w:val="32"/>
          <w:vertAlign w:val="subscript"/>
        </w:rPr>
        <w:t>2</w:t>
      </w:r>
      <w:r>
        <w:rPr>
          <w:rFonts w:ascii="Times New Roman" w:eastAsia="文星仿宋" w:hAnsi="Times New Roman" w:cs="Times New Roman"/>
          <w:color w:val="000000"/>
          <w:w w:val="98"/>
          <w:sz w:val="32"/>
          <w:szCs w:val="32"/>
        </w:rPr>
        <w:t>、</w:t>
      </w:r>
      <w:r>
        <w:rPr>
          <w:rFonts w:ascii="Times New Roman" w:eastAsia="文星仿宋" w:hAnsi="Times New Roman" w:cs="Times New Roman"/>
          <w:color w:val="000000"/>
          <w:w w:val="98"/>
          <w:sz w:val="32"/>
          <w:szCs w:val="32"/>
        </w:rPr>
        <w:t>NO</w:t>
      </w:r>
      <w:r w:rsidRPr="00942207">
        <w:rPr>
          <w:rFonts w:ascii="Times New Roman" w:eastAsia="文星仿宋" w:hAnsi="Times New Roman" w:cs="Times New Roman"/>
          <w:color w:val="000000"/>
          <w:w w:val="98"/>
          <w:sz w:val="32"/>
          <w:szCs w:val="32"/>
          <w:vertAlign w:val="subscript"/>
        </w:rPr>
        <w:t>X</w:t>
      </w:r>
      <w:r>
        <w:rPr>
          <w:rFonts w:ascii="Times New Roman" w:eastAsia="文星仿宋" w:hAnsi="Times New Roman" w:cs="Times New Roman"/>
          <w:color w:val="000000"/>
          <w:w w:val="98"/>
          <w:sz w:val="32"/>
          <w:szCs w:val="32"/>
        </w:rPr>
        <w:t xml:space="preserve"> </w:t>
      </w:r>
      <w:r>
        <w:rPr>
          <w:rFonts w:ascii="Times New Roman" w:eastAsia="文星仿宋" w:hAnsi="Times New Roman" w:cs="Times New Roman"/>
          <w:color w:val="000000"/>
          <w:w w:val="98"/>
          <w:sz w:val="32"/>
          <w:szCs w:val="32"/>
        </w:rPr>
        <w:t>和烟尘排放浓度满足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《山东省区域性大气污染物综合排放标准》（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DB37/2376-2013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）表</w:t>
      </w:r>
      <w:r w:rsidR="00942207"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1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标准</w:t>
      </w:r>
      <w:r>
        <w:rPr>
          <w:rFonts w:ascii="Times New Roman" w:eastAsia="文星仿宋" w:hAnsi="Times New Roman" w:cs="Times New Roman"/>
          <w:color w:val="000000"/>
          <w:w w:val="98"/>
          <w:sz w:val="32"/>
          <w:szCs w:val="32"/>
        </w:rPr>
        <w:t>要求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。</w:t>
      </w:r>
    </w:p>
    <w:p w:rsidR="004D42EA" w:rsidRDefault="008457F9">
      <w:pPr>
        <w:pStyle w:val="a3"/>
        <w:spacing w:after="0" w:line="700" w:lineRule="exact"/>
        <w:ind w:firstLineChars="200" w:firstLine="626"/>
        <w:rPr>
          <w:rFonts w:ascii="Times New Roman" w:eastAsia="文星仿宋" w:hAnsi="Times New Roman" w:cs="Times New Roman"/>
          <w:color w:val="000000"/>
          <w:w w:val="98"/>
          <w:sz w:val="32"/>
          <w:szCs w:val="32"/>
        </w:rPr>
      </w:pP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3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、涂装车间腻子打磨产生的粉尘颗粒物经布袋除尘器收集后</w:t>
      </w:r>
      <w:r>
        <w:rPr>
          <w:rFonts w:ascii="Times New Roman" w:eastAsia="文星仿宋" w:hAnsi="Times New Roman" w:cs="Times New Roman"/>
          <w:color w:val="000000"/>
          <w:w w:val="98"/>
          <w:sz w:val="32"/>
          <w:szCs w:val="32"/>
        </w:rPr>
        <w:t>由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1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根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15m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高排气筒排放，确保</w:t>
      </w:r>
      <w:r>
        <w:rPr>
          <w:rFonts w:ascii="Times New Roman" w:eastAsia="文星仿宋" w:hAnsi="Times New Roman" w:cs="Times New Roman"/>
          <w:color w:val="000000"/>
          <w:w w:val="98"/>
          <w:sz w:val="32"/>
          <w:szCs w:val="32"/>
        </w:rPr>
        <w:t>外排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粉尘</w:t>
      </w:r>
      <w:r>
        <w:rPr>
          <w:rFonts w:ascii="Times New Roman" w:eastAsia="文星仿宋" w:hAnsi="Times New Roman" w:cs="Times New Roman"/>
          <w:color w:val="000000"/>
          <w:w w:val="98"/>
          <w:sz w:val="32"/>
          <w:szCs w:val="32"/>
        </w:rPr>
        <w:t>排放浓度满足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《山东省区域性大气污染物综合排放标准》（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DB37/2376-2013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）</w:t>
      </w:r>
      <w:r w:rsidR="00942207"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1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标准</w:t>
      </w:r>
      <w:r>
        <w:rPr>
          <w:rFonts w:ascii="Times New Roman" w:eastAsia="文星仿宋" w:hAnsi="Times New Roman" w:cs="Times New Roman"/>
          <w:color w:val="000000"/>
          <w:w w:val="98"/>
          <w:sz w:val="32"/>
          <w:szCs w:val="32"/>
        </w:rPr>
        <w:t>要求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。</w:t>
      </w:r>
    </w:p>
    <w:p w:rsidR="004D42EA" w:rsidRDefault="008457F9">
      <w:pPr>
        <w:spacing w:line="700" w:lineRule="exact"/>
        <w:ind w:firstLineChars="200" w:firstLine="626"/>
        <w:rPr>
          <w:rFonts w:ascii="Times New Roman" w:eastAsia="文星仿宋" w:hAnsi="Times New Roman" w:cs="Times New Roman"/>
          <w:color w:val="000000"/>
          <w:w w:val="98"/>
          <w:sz w:val="32"/>
          <w:szCs w:val="32"/>
        </w:rPr>
      </w:pPr>
      <w:r>
        <w:rPr>
          <w:rFonts w:ascii="Times New Roman" w:eastAsia="文星仿宋" w:hAnsi="Times New Roman" w:hint="eastAsia"/>
          <w:color w:val="000000"/>
          <w:w w:val="98"/>
          <w:sz w:val="32"/>
          <w:szCs w:val="32"/>
        </w:rPr>
        <w:t>4</w:t>
      </w:r>
      <w:r>
        <w:rPr>
          <w:rFonts w:ascii="Times New Roman" w:eastAsia="文星仿宋" w:hAnsi="Times New Roman" w:hint="eastAsia"/>
          <w:color w:val="000000"/>
          <w:w w:val="98"/>
          <w:sz w:val="32"/>
          <w:szCs w:val="32"/>
        </w:rPr>
        <w:t>、餐厅油烟废气经油烟净化设施处理后由楼层顶部</w:t>
      </w:r>
      <w:r>
        <w:rPr>
          <w:rFonts w:ascii="Times New Roman" w:eastAsia="文星仿宋" w:hAnsi="Times New Roman" w:hint="eastAsia"/>
          <w:color w:val="000000"/>
          <w:w w:val="98"/>
          <w:sz w:val="32"/>
          <w:szCs w:val="32"/>
        </w:rPr>
        <w:t>1.5m</w:t>
      </w:r>
      <w:r>
        <w:rPr>
          <w:rFonts w:ascii="Times New Roman" w:eastAsia="文星仿宋" w:hAnsi="Times New Roman" w:hint="eastAsia"/>
          <w:color w:val="000000"/>
          <w:w w:val="98"/>
          <w:sz w:val="32"/>
          <w:szCs w:val="32"/>
        </w:rPr>
        <w:t>高排气筒排放</w:t>
      </w:r>
      <w:r>
        <w:rPr>
          <w:rFonts w:ascii="Times New Roman" w:eastAsia="文星仿宋" w:hAnsi="Times New Roman" w:cs="Times New Roman"/>
          <w:color w:val="000000"/>
          <w:w w:val="98"/>
          <w:sz w:val="32"/>
          <w:szCs w:val="32"/>
        </w:rPr>
        <w:t>，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确保</w:t>
      </w:r>
      <w:r>
        <w:rPr>
          <w:rFonts w:ascii="Times New Roman" w:eastAsia="文星仿宋" w:hAnsi="Times New Roman" w:cs="Times New Roman"/>
          <w:color w:val="000000"/>
          <w:w w:val="98"/>
          <w:sz w:val="32"/>
          <w:szCs w:val="32"/>
        </w:rPr>
        <w:t>外排废气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油烟排放浓度</w:t>
      </w:r>
      <w:r>
        <w:rPr>
          <w:rFonts w:ascii="Times New Roman" w:eastAsia="文星仿宋" w:hAnsi="Times New Roman" w:cs="Times New Roman"/>
          <w:color w:val="000000"/>
          <w:w w:val="98"/>
          <w:sz w:val="32"/>
          <w:szCs w:val="32"/>
        </w:rPr>
        <w:t>满足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《饮食业油烟排放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lastRenderedPageBreak/>
        <w:t>标准》（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DB37/597-2006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）中的标准要求。</w:t>
      </w:r>
    </w:p>
    <w:p w:rsidR="004D42EA" w:rsidRDefault="008457F9">
      <w:pPr>
        <w:pStyle w:val="a3"/>
        <w:spacing w:after="0" w:line="700" w:lineRule="exact"/>
        <w:ind w:firstLineChars="200" w:firstLine="626"/>
        <w:rPr>
          <w:rFonts w:ascii="Times New Roman" w:eastAsia="文星仿宋" w:hAnsi="Times New Roman" w:cs="Times New Roman"/>
          <w:color w:val="000000"/>
          <w:w w:val="98"/>
          <w:sz w:val="32"/>
          <w:szCs w:val="32"/>
        </w:rPr>
      </w:pP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5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、</w:t>
      </w:r>
      <w:r>
        <w:rPr>
          <w:rFonts w:ascii="文星仿宋" w:eastAsia="文星仿宋" w:hAnsi="文星仿宋" w:hint="eastAsia"/>
          <w:sz w:val="32"/>
          <w:szCs w:val="32"/>
        </w:rPr>
        <w:t>本项目产生的无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组织废气主要为焊接烟尘、焊接打磨粉尘、腻子打磨粉尘、喷漆烘干废气及涂焊缝密封胶挥发废气</w:t>
      </w:r>
      <w:r>
        <w:rPr>
          <w:rFonts w:ascii="Times New Roman" w:eastAsia="文星仿宋" w:hAnsi="Times New Roman" w:cs="Times New Roman"/>
          <w:color w:val="000000"/>
          <w:w w:val="98"/>
          <w:sz w:val="32"/>
          <w:szCs w:val="32"/>
        </w:rPr>
        <w:t>，</w:t>
      </w:r>
      <w:r w:rsidR="00711B7B">
        <w:rPr>
          <w:rFonts w:ascii="文星仿宋" w:eastAsia="文星仿宋" w:hAnsi="文星仿宋" w:hint="eastAsia"/>
          <w:color w:val="000000"/>
          <w:sz w:val="32"/>
          <w:szCs w:val="32"/>
        </w:rPr>
        <w:t>落实报告书中提出的无组织废气控制措施</w:t>
      </w:r>
      <w:r>
        <w:rPr>
          <w:rFonts w:ascii="Times New Roman" w:eastAsia="文星仿宋" w:hAnsi="Times New Roman" w:cs="Times New Roman"/>
          <w:color w:val="000000"/>
          <w:w w:val="98"/>
          <w:sz w:val="32"/>
          <w:szCs w:val="32"/>
        </w:rPr>
        <w:t>，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确保外排颗粒物满足《大气污染物综合排放标准》（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GB16297-1996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）表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2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无组织排放监控浓度限值要求；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VOCs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排放浓度须满足《挥发性有机物排放标准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 xml:space="preserve"> 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第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1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部分：汽车制造业》（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DB37/2801.1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－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2016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）表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2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标准要求。</w:t>
      </w:r>
    </w:p>
    <w:p w:rsidR="004D42EA" w:rsidRDefault="008457F9">
      <w:pPr>
        <w:spacing w:line="700" w:lineRule="exact"/>
        <w:ind w:firstLineChars="200" w:firstLine="640"/>
      </w:pPr>
      <w:r>
        <w:rPr>
          <w:rFonts w:ascii="文星仿宋" w:eastAsia="文星仿宋" w:hAnsi="文星仿宋" w:hint="eastAsia"/>
          <w:color w:val="000000"/>
          <w:sz w:val="32"/>
          <w:szCs w:val="32"/>
        </w:rPr>
        <w:t>（二）落实水污染防治措施。合理设计雨水管网、废水管网，排水系统应按“清污分流”“污污分流”原则进行设计。</w:t>
      </w:r>
    </w:p>
    <w:p w:rsidR="004D42EA" w:rsidRPr="005B1898" w:rsidRDefault="005B1898">
      <w:pPr>
        <w:pStyle w:val="1"/>
        <w:spacing w:line="700" w:lineRule="exact"/>
        <w:ind w:firstLine="640"/>
        <w:rPr>
          <w:rFonts w:ascii="文星仿宋" w:eastAsia="文星仿宋" w:hAnsi="文星仿宋"/>
          <w:color w:val="000000" w:themeColor="text1"/>
          <w:sz w:val="32"/>
          <w:szCs w:val="32"/>
        </w:rPr>
      </w:pPr>
      <w:r w:rsidRPr="005B1898">
        <w:rPr>
          <w:rFonts w:ascii="文星仿宋" w:eastAsia="文星仿宋" w:hAnsi="文星仿宋" w:hint="eastAsia"/>
          <w:color w:val="000000" w:themeColor="text1"/>
          <w:sz w:val="32"/>
          <w:szCs w:val="32"/>
        </w:rPr>
        <w:t>本</w:t>
      </w:r>
      <w:r w:rsidR="008457F9" w:rsidRPr="005B1898">
        <w:rPr>
          <w:rFonts w:ascii="文星仿宋" w:eastAsia="文星仿宋" w:hAnsi="文星仿宋" w:hint="eastAsia"/>
          <w:color w:val="000000" w:themeColor="text1"/>
          <w:sz w:val="32"/>
          <w:szCs w:val="32"/>
        </w:rPr>
        <w:t>项目</w:t>
      </w:r>
      <w:r w:rsidRPr="005B1898">
        <w:rPr>
          <w:rFonts w:ascii="文星仿宋" w:eastAsia="文星仿宋" w:hAnsi="文星仿宋" w:hint="eastAsia"/>
          <w:color w:val="000000" w:themeColor="text1"/>
          <w:sz w:val="32"/>
          <w:szCs w:val="32"/>
        </w:rPr>
        <w:t>漆雾净化废水经絮凝剂+Fenton沉淀处理后，循环使用，不得外排；</w:t>
      </w:r>
      <w:r w:rsidR="008457F9" w:rsidRPr="005B1898">
        <w:rPr>
          <w:rFonts w:ascii="文星仿宋" w:eastAsia="文星仿宋" w:hAnsi="文星仿宋" w:hint="eastAsia"/>
          <w:color w:val="000000" w:themeColor="text1"/>
          <w:sz w:val="32"/>
          <w:szCs w:val="32"/>
        </w:rPr>
        <w:t>生活污水</w:t>
      </w:r>
      <w:r w:rsidRPr="005B1898">
        <w:rPr>
          <w:rFonts w:ascii="文星仿宋" w:eastAsia="文星仿宋" w:hAnsi="文星仿宋" w:hint="eastAsia"/>
          <w:color w:val="000000" w:themeColor="text1"/>
          <w:sz w:val="32"/>
          <w:szCs w:val="32"/>
        </w:rPr>
        <w:t>中洗刷废水用于降尘或绿化，其余</w:t>
      </w:r>
      <w:r w:rsidR="008457F9" w:rsidRPr="005B1898">
        <w:rPr>
          <w:rFonts w:ascii="文星仿宋" w:eastAsia="文星仿宋" w:hAnsi="文星仿宋" w:hint="eastAsia"/>
          <w:color w:val="000000" w:themeColor="text1"/>
          <w:sz w:val="32"/>
          <w:szCs w:val="32"/>
        </w:rPr>
        <w:t>部分经化粪池处理后由环卫部门外运堆肥，不得外排。</w:t>
      </w:r>
    </w:p>
    <w:p w:rsidR="004D42EA" w:rsidRDefault="008457F9">
      <w:pPr>
        <w:numPr>
          <w:ilvl w:val="0"/>
          <w:numId w:val="1"/>
        </w:numPr>
        <w:spacing w:line="700" w:lineRule="exact"/>
        <w:ind w:firstLineChars="200" w:firstLine="640"/>
        <w:rPr>
          <w:rFonts w:ascii="文星仿宋" w:eastAsia="文星仿宋" w:hAnsi="文星仿宋"/>
          <w:color w:val="000000"/>
          <w:sz w:val="32"/>
          <w:szCs w:val="32"/>
        </w:rPr>
      </w:pPr>
      <w:r>
        <w:rPr>
          <w:rFonts w:ascii="文星仿宋" w:eastAsia="文星仿宋" w:hAnsi="文星仿宋" w:hint="eastAsia"/>
          <w:color w:val="000000"/>
          <w:sz w:val="32"/>
          <w:szCs w:val="32"/>
        </w:rPr>
        <w:t>通过选用低噪音设备，并相应采取减震、隔声、降噪等措施，确保厂界噪声符合《工业企业厂界环境噪声排放标准》（GB12348-2008</w:t>
      </w:r>
      <w:r>
        <w:rPr>
          <w:rFonts w:ascii="文星仿宋" w:eastAsia="文星仿宋" w:hAnsi="文星仿宋"/>
          <w:color w:val="000000"/>
          <w:sz w:val="32"/>
          <w:szCs w:val="32"/>
        </w:rPr>
        <w:t>）</w:t>
      </w:r>
      <w:r>
        <w:rPr>
          <w:rFonts w:ascii="文星仿宋" w:eastAsia="文星仿宋" w:hAnsi="文星仿宋" w:hint="eastAsia"/>
          <w:color w:val="000000"/>
          <w:sz w:val="32"/>
          <w:szCs w:val="32"/>
        </w:rPr>
        <w:t>中2类标准要求。</w:t>
      </w:r>
    </w:p>
    <w:p w:rsidR="004D42EA" w:rsidRDefault="008457F9">
      <w:pPr>
        <w:spacing w:line="700" w:lineRule="exact"/>
        <w:ind w:firstLineChars="200" w:firstLine="640"/>
        <w:rPr>
          <w:rFonts w:ascii="文星仿宋" w:eastAsia="文星仿宋" w:hAnsi="文星仿宋"/>
          <w:spacing w:val="-8"/>
          <w:sz w:val="32"/>
          <w:szCs w:val="32"/>
        </w:rPr>
      </w:pPr>
      <w:r>
        <w:rPr>
          <w:rFonts w:ascii="文星仿宋" w:eastAsia="文星仿宋" w:hAnsi="文星仿宋" w:cs="宋体" w:hint="eastAsia"/>
          <w:color w:val="000000"/>
          <w:sz w:val="32"/>
          <w:szCs w:val="32"/>
        </w:rPr>
        <w:t>（四）按照固体废物“资源化、减量化、无害化”处置原则，</w:t>
      </w:r>
      <w:r>
        <w:rPr>
          <w:rFonts w:ascii="文星仿宋" w:eastAsia="文星仿宋" w:hAnsi="文星仿宋" w:cs="宋体" w:hint="eastAsia"/>
          <w:sz w:val="32"/>
          <w:szCs w:val="32"/>
        </w:rPr>
        <w:t>落实各类固体废物的收集、处置和综合利用措施。一般固废按照报告书中提出的处置措施进行处理；废固化剂桶、废切</w:t>
      </w:r>
      <w:r>
        <w:rPr>
          <w:rFonts w:ascii="文星仿宋" w:eastAsia="文星仿宋" w:hAnsi="文星仿宋" w:cs="宋体" w:hint="eastAsia"/>
          <w:sz w:val="32"/>
          <w:szCs w:val="32"/>
        </w:rPr>
        <w:lastRenderedPageBreak/>
        <w:t>削液、废机油、废液压油属于危险废物，危险废物必须委托有资质单位代为处置，不得随意处置，平时要按照《危险废物贮存污染控制标准》（GB18597-2001）的要求做好暂存工作</w:t>
      </w:r>
      <w:r>
        <w:rPr>
          <w:rFonts w:ascii="文星仿宋" w:eastAsia="文星仿宋" w:hAnsi="文星仿宋" w:cs="Times New Roman" w:hint="eastAsia"/>
          <w:spacing w:val="-8"/>
          <w:sz w:val="32"/>
          <w:szCs w:val="32"/>
        </w:rPr>
        <w:t>。</w:t>
      </w:r>
    </w:p>
    <w:p w:rsidR="004D42EA" w:rsidRDefault="008457F9">
      <w:pPr>
        <w:spacing w:line="700" w:lineRule="exact"/>
        <w:ind w:firstLineChars="200" w:firstLine="640"/>
        <w:rPr>
          <w:rFonts w:ascii="文星仿宋" w:eastAsia="文星仿宋" w:hAnsi="文星仿宋" w:cs="文星仿宋"/>
          <w:color w:val="000000"/>
          <w:sz w:val="32"/>
          <w:szCs w:val="32"/>
        </w:rPr>
      </w:pPr>
      <w:r>
        <w:rPr>
          <w:rFonts w:ascii="文星仿宋" w:eastAsia="文星仿宋" w:hAnsi="文星仿宋" w:cs="宋体" w:hint="eastAsia"/>
          <w:color w:val="000000"/>
          <w:sz w:val="32"/>
          <w:szCs w:val="32"/>
        </w:rPr>
        <w:t>（五）</w:t>
      </w:r>
      <w:r>
        <w:rPr>
          <w:rFonts w:ascii="文星仿宋" w:eastAsia="文星仿宋" w:hAnsi="文星仿宋" w:cs="宋体" w:hint="eastAsia"/>
          <w:sz w:val="32"/>
          <w:szCs w:val="32"/>
        </w:rPr>
        <w:t>报告书确定卫生防护距离</w:t>
      </w:r>
      <w:r>
        <w:rPr>
          <w:rFonts w:ascii="文星仿宋" w:eastAsia="文星仿宋" w:hAnsi="文星仿宋" w:cs="宋体"/>
          <w:sz w:val="32"/>
          <w:szCs w:val="32"/>
        </w:rPr>
        <w:t>为</w:t>
      </w:r>
      <w:r>
        <w:rPr>
          <w:rFonts w:ascii="文星仿宋" w:eastAsia="文星仿宋" w:hAnsi="文星仿宋" w:cs="宋体" w:hint="eastAsia"/>
          <w:sz w:val="32"/>
          <w:szCs w:val="32"/>
        </w:rPr>
        <w:t>300</w:t>
      </w:r>
      <w:r>
        <w:rPr>
          <w:rFonts w:ascii="文星仿宋" w:eastAsia="文星仿宋" w:hAnsi="文星仿宋" w:cs="宋体"/>
          <w:sz w:val="32"/>
          <w:szCs w:val="32"/>
        </w:rPr>
        <w:t>m</w:t>
      </w:r>
      <w:r>
        <w:rPr>
          <w:rFonts w:ascii="文星仿宋" w:eastAsia="文星仿宋" w:hAnsi="文星仿宋" w:cs="宋体" w:hint="eastAsia"/>
          <w:sz w:val="32"/>
          <w:szCs w:val="32"/>
        </w:rPr>
        <w:t>，</w:t>
      </w:r>
      <w:r w:rsidR="00711B7B">
        <w:rPr>
          <w:rFonts w:ascii="文星仿宋" w:eastAsia="文星仿宋" w:hAnsi="文星仿宋" w:cs="宋体" w:hint="eastAsia"/>
          <w:sz w:val="32"/>
          <w:szCs w:val="32"/>
        </w:rPr>
        <w:t>卫生防护距离范围内不得新建学校、医院、居住区等敏感性建筑</w:t>
      </w:r>
      <w:r w:rsidR="00711B7B">
        <w:rPr>
          <w:rFonts w:ascii="文星仿宋" w:eastAsia="文星仿宋" w:hAnsi="文星仿宋" w:hint="eastAsia"/>
          <w:color w:val="000000"/>
          <w:spacing w:val="-8"/>
          <w:sz w:val="32"/>
          <w:szCs w:val="32"/>
        </w:rPr>
        <w:t>。</w:t>
      </w:r>
    </w:p>
    <w:p w:rsidR="004D42EA" w:rsidRDefault="008457F9">
      <w:pPr>
        <w:spacing w:line="700" w:lineRule="exact"/>
        <w:ind w:firstLineChars="200" w:firstLine="608"/>
        <w:rPr>
          <w:rFonts w:ascii="文星仿宋" w:eastAsia="文星仿宋" w:hAnsi="文星仿宋"/>
          <w:color w:val="000000" w:themeColor="text1"/>
          <w:spacing w:val="-8"/>
          <w:sz w:val="32"/>
          <w:szCs w:val="32"/>
        </w:rPr>
      </w:pPr>
      <w:r>
        <w:rPr>
          <w:rFonts w:ascii="文星仿宋" w:eastAsia="文星仿宋" w:hAnsi="文星仿宋" w:hint="eastAsia"/>
          <w:color w:val="000000" w:themeColor="text1"/>
          <w:spacing w:val="-8"/>
          <w:sz w:val="32"/>
          <w:szCs w:val="32"/>
        </w:rPr>
        <w:t>（六）本项目SO</w:t>
      </w:r>
      <w:r>
        <w:rPr>
          <w:rFonts w:ascii="文星仿宋" w:eastAsia="文星仿宋" w:hAnsi="文星仿宋" w:hint="eastAsia"/>
          <w:color w:val="000000" w:themeColor="text1"/>
          <w:spacing w:val="-8"/>
          <w:sz w:val="32"/>
          <w:szCs w:val="32"/>
          <w:vertAlign w:val="subscript"/>
        </w:rPr>
        <w:t>2</w:t>
      </w:r>
      <w:r>
        <w:rPr>
          <w:rFonts w:ascii="文星仿宋" w:eastAsia="文星仿宋" w:hAnsi="文星仿宋" w:hint="eastAsia"/>
          <w:color w:val="000000" w:themeColor="text1"/>
          <w:spacing w:val="-8"/>
          <w:sz w:val="32"/>
          <w:szCs w:val="32"/>
        </w:rPr>
        <w:t>、NO</w:t>
      </w:r>
      <w:r>
        <w:rPr>
          <w:rFonts w:ascii="文星仿宋" w:eastAsia="文星仿宋" w:hAnsi="文星仿宋" w:hint="eastAsia"/>
          <w:color w:val="000000" w:themeColor="text1"/>
          <w:spacing w:val="-8"/>
          <w:sz w:val="32"/>
          <w:szCs w:val="32"/>
          <w:vertAlign w:val="subscript"/>
        </w:rPr>
        <w:t>X</w:t>
      </w:r>
      <w:r>
        <w:rPr>
          <w:rFonts w:ascii="文星仿宋" w:eastAsia="文星仿宋" w:hAnsi="文星仿宋" w:hint="eastAsia"/>
          <w:color w:val="000000" w:themeColor="text1"/>
          <w:spacing w:val="-8"/>
          <w:sz w:val="32"/>
          <w:szCs w:val="32"/>
        </w:rPr>
        <w:t>的排放量应分别控制在0.0038t/a、0.018t/a。</w:t>
      </w:r>
    </w:p>
    <w:p w:rsidR="00711B7B" w:rsidRDefault="008457F9" w:rsidP="00711B7B">
      <w:pPr>
        <w:spacing w:line="700" w:lineRule="exact"/>
        <w:ind w:firstLineChars="200" w:firstLine="640"/>
        <w:rPr>
          <w:rFonts w:ascii="文星仿宋" w:eastAsia="文星仿宋" w:hAnsi="文星仿宋" w:cs="宋体"/>
          <w:sz w:val="32"/>
          <w:szCs w:val="32"/>
        </w:rPr>
      </w:pPr>
      <w:r>
        <w:rPr>
          <w:rFonts w:ascii="文星仿宋" w:eastAsia="文星仿宋" w:hAnsi="文星仿宋" w:cs="宋体" w:hint="eastAsia"/>
          <w:color w:val="000000"/>
          <w:sz w:val="32"/>
          <w:szCs w:val="32"/>
        </w:rPr>
        <w:t>（</w:t>
      </w:r>
      <w:r>
        <w:rPr>
          <w:rFonts w:ascii="文星仿宋" w:eastAsia="文星仿宋" w:hAnsi="文星仿宋" w:cs="宋体" w:hint="eastAsia"/>
          <w:sz w:val="32"/>
          <w:szCs w:val="32"/>
        </w:rPr>
        <w:t>七）</w:t>
      </w:r>
      <w:r w:rsidR="00711B7B" w:rsidRPr="000D38C0">
        <w:rPr>
          <w:rFonts w:ascii="文星仿宋" w:eastAsia="文星仿宋" w:hAnsi="文星仿宋" w:cs="宋体" w:hint="eastAsia"/>
          <w:sz w:val="32"/>
          <w:szCs w:val="32"/>
        </w:rPr>
        <w:t>落实报告书中提出的环境风险防范措施，制定相应的环境风险预案，配备必要的应急设备。为防止事故发生时产生废水直接外排，建设一座</w:t>
      </w:r>
      <w:r w:rsidR="00711B7B">
        <w:rPr>
          <w:rFonts w:ascii="文星仿宋" w:eastAsia="文星仿宋" w:hAnsi="文星仿宋" w:cs="宋体" w:hint="eastAsia"/>
          <w:sz w:val="32"/>
          <w:szCs w:val="32"/>
        </w:rPr>
        <w:t>200</w:t>
      </w:r>
      <w:r w:rsidR="00711B7B" w:rsidRPr="000D38C0">
        <w:rPr>
          <w:rFonts w:ascii="文星仿宋" w:eastAsia="文星仿宋" w:hAnsi="文星仿宋" w:cs="宋体" w:hint="eastAsia"/>
          <w:sz w:val="32"/>
          <w:szCs w:val="32"/>
        </w:rPr>
        <w:t>立方米的事故应急水池，将事故风险环境影响降到最低。</w:t>
      </w:r>
    </w:p>
    <w:p w:rsidR="004D42EA" w:rsidRDefault="008457F9">
      <w:pPr>
        <w:spacing w:line="70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三、严格落实“三同时”制度</w:t>
      </w:r>
    </w:p>
    <w:p w:rsidR="004D42EA" w:rsidRDefault="008457F9">
      <w:pPr>
        <w:spacing w:line="700" w:lineRule="exact"/>
        <w:ind w:firstLineChars="200" w:firstLine="640"/>
        <w:rPr>
          <w:rFonts w:ascii="文星仿宋" w:eastAsia="文星仿宋" w:hAnsi="文星仿宋"/>
          <w:color w:val="000000"/>
          <w:sz w:val="32"/>
          <w:szCs w:val="32"/>
        </w:rPr>
      </w:pPr>
      <w:r>
        <w:rPr>
          <w:rFonts w:ascii="文星仿宋" w:eastAsia="文星仿宋" w:hAnsi="文星仿宋" w:hint="eastAsia"/>
          <w:color w:val="000000"/>
          <w:sz w:val="32"/>
          <w:szCs w:val="32"/>
        </w:rPr>
        <w:t>你公司必须严格执行配套建设的环境保设施与主体工程同时设计、同时施工、同时投入使用的“三同时”制度。</w:t>
      </w:r>
    </w:p>
    <w:p w:rsidR="004D42EA" w:rsidRDefault="008457F9">
      <w:pPr>
        <w:spacing w:line="70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四、其他</w:t>
      </w:r>
    </w:p>
    <w:p w:rsidR="004D42EA" w:rsidRDefault="008457F9">
      <w:pPr>
        <w:spacing w:line="700" w:lineRule="exact"/>
        <w:ind w:firstLineChars="200" w:firstLine="640"/>
        <w:rPr>
          <w:rFonts w:ascii="文星仿宋" w:eastAsia="文星仿宋" w:hAnsi="文星仿宋"/>
          <w:color w:val="000000"/>
          <w:sz w:val="32"/>
          <w:szCs w:val="32"/>
        </w:rPr>
      </w:pPr>
      <w:r>
        <w:rPr>
          <w:rFonts w:ascii="文星仿宋" w:eastAsia="文星仿宋" w:hAnsi="文星仿宋" w:hint="eastAsia"/>
          <w:color w:val="000000"/>
          <w:sz w:val="32"/>
          <w:szCs w:val="32"/>
        </w:rPr>
        <w:t>若项目性质、规模、地点或防治污染、防止生态破坏的措施发生了重大变动，应向我局重新报批环境影响评价文件；项目正式投产后三个月内，应按相关法律法规要求向我局申请环保验收，新</w:t>
      </w:r>
      <w:r>
        <w:rPr>
          <w:rFonts w:ascii="文星仿宋" w:eastAsia="文星仿宋" w:hAnsi="文星仿宋"/>
          <w:color w:val="000000"/>
          <w:sz w:val="32"/>
          <w:szCs w:val="32"/>
        </w:rPr>
        <w:t>《建设项目环境保护</w:t>
      </w:r>
      <w:hyperlink r:id="rId8" w:tgtFrame="_blank" w:history="1">
        <w:r>
          <w:rPr>
            <w:rFonts w:ascii="文星仿宋" w:eastAsia="文星仿宋" w:hAnsi="文星仿宋"/>
            <w:color w:val="000000"/>
            <w:sz w:val="32"/>
            <w:szCs w:val="32"/>
          </w:rPr>
          <w:t>管理</w:t>
        </w:r>
      </w:hyperlink>
      <w:hyperlink r:id="rId9" w:tgtFrame="_blank" w:history="1">
        <w:r>
          <w:rPr>
            <w:rFonts w:ascii="文星仿宋" w:eastAsia="文星仿宋" w:hAnsi="文星仿宋"/>
            <w:color w:val="000000"/>
            <w:sz w:val="32"/>
            <w:szCs w:val="32"/>
          </w:rPr>
          <w:t>条例</w:t>
        </w:r>
      </w:hyperlink>
      <w:r>
        <w:rPr>
          <w:rFonts w:ascii="文星仿宋" w:eastAsia="文星仿宋" w:hAnsi="文星仿宋"/>
          <w:color w:val="000000"/>
          <w:sz w:val="32"/>
          <w:szCs w:val="32"/>
        </w:rPr>
        <w:t>》</w:t>
      </w:r>
      <w:r>
        <w:rPr>
          <w:rFonts w:ascii="文星仿宋" w:eastAsia="文星仿宋" w:hAnsi="文星仿宋" w:hint="eastAsia"/>
          <w:color w:val="000000"/>
          <w:sz w:val="32"/>
          <w:szCs w:val="32"/>
        </w:rPr>
        <w:t>实施后，按照相关</w:t>
      </w:r>
      <w:r>
        <w:rPr>
          <w:rFonts w:ascii="文星仿宋" w:eastAsia="文星仿宋" w:hAnsi="文星仿宋" w:hint="eastAsia"/>
          <w:color w:val="000000"/>
          <w:sz w:val="32"/>
          <w:szCs w:val="32"/>
        </w:rPr>
        <w:lastRenderedPageBreak/>
        <w:t>要求开展验收工作。</w:t>
      </w:r>
    </w:p>
    <w:p w:rsidR="004D42EA" w:rsidRDefault="008457F9">
      <w:pPr>
        <w:spacing w:line="700" w:lineRule="exact"/>
        <w:ind w:firstLineChars="200" w:firstLine="640"/>
        <w:rPr>
          <w:rFonts w:ascii="文星仿宋" w:eastAsia="文星仿宋" w:hAnsi="文星仿宋"/>
          <w:color w:val="000000"/>
          <w:sz w:val="32"/>
          <w:szCs w:val="32"/>
        </w:rPr>
      </w:pPr>
      <w:r>
        <w:rPr>
          <w:rFonts w:ascii="文星仿宋" w:eastAsia="文星仿宋" w:hAnsi="文星仿宋" w:hint="eastAsia"/>
          <w:color w:val="000000"/>
          <w:sz w:val="32"/>
          <w:szCs w:val="32"/>
        </w:rPr>
        <w:t>本项目的环境影响评价文件自批准之日起超过五年，方决定该项目开工建设的，其环境影响评价文件应当报我局重新审核。</w:t>
      </w:r>
    </w:p>
    <w:p w:rsidR="004D42EA" w:rsidRDefault="004D42EA">
      <w:pPr>
        <w:spacing w:line="700" w:lineRule="exact"/>
        <w:ind w:firstLineChars="200" w:firstLine="640"/>
        <w:rPr>
          <w:rFonts w:ascii="文星仿宋" w:eastAsia="文星仿宋" w:hAnsi="文星仿宋"/>
          <w:color w:val="000000"/>
          <w:sz w:val="32"/>
          <w:szCs w:val="32"/>
        </w:rPr>
      </w:pPr>
    </w:p>
    <w:p w:rsidR="004D42EA" w:rsidRDefault="008457F9">
      <w:pPr>
        <w:spacing w:line="700" w:lineRule="exact"/>
        <w:ind w:firstLineChars="200" w:firstLine="640"/>
        <w:jc w:val="right"/>
        <w:rPr>
          <w:rFonts w:ascii="文星仿宋" w:eastAsia="文星仿宋" w:hAnsi="文星仿宋"/>
          <w:color w:val="000000"/>
          <w:sz w:val="32"/>
          <w:szCs w:val="32"/>
        </w:rPr>
      </w:pPr>
      <w:r>
        <w:rPr>
          <w:rFonts w:ascii="文星仿宋" w:eastAsia="文星仿宋" w:hAnsi="文星仿宋" w:hint="eastAsia"/>
          <w:color w:val="000000"/>
          <w:sz w:val="32"/>
          <w:szCs w:val="32"/>
        </w:rPr>
        <w:t xml:space="preserve">临沂市环境保护局高新技术产业开发区分局                                          </w:t>
      </w:r>
    </w:p>
    <w:p w:rsidR="004D42EA" w:rsidRDefault="008457F9">
      <w:pPr>
        <w:spacing w:line="700" w:lineRule="exact"/>
        <w:ind w:right="640" w:firstLineChars="200" w:firstLine="640"/>
        <w:jc w:val="center"/>
        <w:rPr>
          <w:rFonts w:ascii="文星仿宋" w:eastAsia="文星仿宋" w:hAnsi="文星仿宋"/>
          <w:color w:val="000000"/>
          <w:sz w:val="32"/>
          <w:szCs w:val="32"/>
        </w:rPr>
      </w:pPr>
      <w:r>
        <w:rPr>
          <w:rFonts w:ascii="文星仿宋" w:eastAsia="文星仿宋" w:hAnsi="文星仿宋" w:hint="eastAsia"/>
          <w:color w:val="000000"/>
          <w:sz w:val="32"/>
          <w:szCs w:val="32"/>
        </w:rPr>
        <w:t xml:space="preserve">                              </w:t>
      </w:r>
      <w:r>
        <w:rPr>
          <w:rFonts w:ascii="文星仿宋" w:eastAsia="文星仿宋" w:hAnsi="文星仿宋"/>
          <w:color w:val="000000"/>
          <w:sz w:val="32"/>
          <w:szCs w:val="32"/>
        </w:rPr>
        <w:t>201</w:t>
      </w:r>
      <w:r>
        <w:rPr>
          <w:rFonts w:ascii="文星仿宋" w:eastAsia="文星仿宋" w:hAnsi="文星仿宋" w:hint="eastAsia"/>
          <w:color w:val="000000"/>
          <w:sz w:val="32"/>
          <w:szCs w:val="32"/>
        </w:rPr>
        <w:t>7</w:t>
      </w:r>
      <w:r>
        <w:rPr>
          <w:rFonts w:ascii="文星仿宋" w:eastAsia="文星仿宋" w:hAnsi="文星仿宋"/>
          <w:color w:val="000000"/>
          <w:sz w:val="32"/>
          <w:szCs w:val="32"/>
        </w:rPr>
        <w:t>年</w:t>
      </w:r>
      <w:r>
        <w:rPr>
          <w:rFonts w:ascii="文星仿宋" w:eastAsia="文星仿宋" w:hAnsi="文星仿宋" w:hint="eastAsia"/>
          <w:color w:val="000000"/>
          <w:sz w:val="32"/>
          <w:szCs w:val="32"/>
        </w:rPr>
        <w:t>9</w:t>
      </w:r>
      <w:r>
        <w:rPr>
          <w:rFonts w:ascii="文星仿宋" w:eastAsia="文星仿宋" w:hAnsi="文星仿宋"/>
          <w:color w:val="000000"/>
          <w:sz w:val="32"/>
          <w:szCs w:val="32"/>
        </w:rPr>
        <w:t>月</w:t>
      </w:r>
      <w:r w:rsidR="005B1898">
        <w:rPr>
          <w:rFonts w:ascii="文星仿宋" w:eastAsia="文星仿宋" w:hAnsi="文星仿宋" w:hint="eastAsia"/>
          <w:color w:val="000000"/>
          <w:sz w:val="32"/>
          <w:szCs w:val="32"/>
        </w:rPr>
        <w:t>25</w:t>
      </w:r>
      <w:r>
        <w:rPr>
          <w:rFonts w:ascii="文星仿宋" w:eastAsia="文星仿宋" w:hAnsi="文星仿宋"/>
          <w:color w:val="000000"/>
          <w:sz w:val="32"/>
          <w:szCs w:val="32"/>
        </w:rPr>
        <w:t>日</w:t>
      </w:r>
      <w:r>
        <w:rPr>
          <w:rFonts w:ascii="文星仿宋" w:eastAsia="文星仿宋" w:hAnsi="文星仿宋" w:hint="eastAsia"/>
          <w:color w:val="000000"/>
          <w:sz w:val="32"/>
          <w:szCs w:val="32"/>
        </w:rPr>
        <w:t xml:space="preserve">    </w:t>
      </w:r>
      <w:bookmarkStart w:id="0" w:name="_GoBack"/>
      <w:bookmarkEnd w:id="0"/>
      <w:r>
        <w:rPr>
          <w:rFonts w:ascii="文星仿宋" w:eastAsia="文星仿宋" w:hAnsi="文星仿宋" w:hint="eastAsia"/>
          <w:color w:val="000000"/>
          <w:sz w:val="32"/>
          <w:szCs w:val="32"/>
        </w:rPr>
        <w:t xml:space="preserve">  </w:t>
      </w:r>
    </w:p>
    <w:sectPr w:rsidR="004D42EA" w:rsidSect="004D42EA">
      <w:headerReference w:type="default" r:id="rId10"/>
      <w:footerReference w:type="even" r:id="rId11"/>
      <w:footerReference w:type="default" r:id="rId12"/>
      <w:pgSz w:w="11906" w:h="16838"/>
      <w:pgMar w:top="1701" w:right="1701" w:bottom="158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667" w:rsidRDefault="004B1667" w:rsidP="004D42EA">
      <w:r>
        <w:separator/>
      </w:r>
    </w:p>
  </w:endnote>
  <w:endnote w:type="continuationSeparator" w:id="1">
    <w:p w:rsidR="004B1667" w:rsidRDefault="004B1667" w:rsidP="004D4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仿宋">
    <w:altName w:val="仿宋_GB2312"/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文星标宋">
    <w:altName w:val="宋体"/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2EA" w:rsidRDefault="008F16F3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 w:rsidR="008457F9">
      <w:rPr>
        <w:rStyle w:val="a6"/>
      </w:rPr>
      <w:instrText xml:space="preserve">PAGE  </w:instrText>
    </w:r>
    <w:r>
      <w:fldChar w:fldCharType="end"/>
    </w:r>
  </w:p>
  <w:p w:rsidR="004D42EA" w:rsidRDefault="004D42E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2EA" w:rsidRDefault="008457F9">
    <w:pPr>
      <w:pStyle w:val="a4"/>
      <w:framePr w:wrap="around" w:vAnchor="text" w:hAnchor="margin" w:xAlign="center" w:y="1"/>
      <w:rPr>
        <w:rStyle w:val="a6"/>
        <w:sz w:val="24"/>
        <w:szCs w:val="24"/>
      </w:rPr>
    </w:pPr>
    <w:r>
      <w:rPr>
        <w:rStyle w:val="a6"/>
        <w:rFonts w:hint="eastAsia"/>
        <w:sz w:val="24"/>
        <w:szCs w:val="24"/>
      </w:rPr>
      <w:t>－</w:t>
    </w:r>
    <w:r w:rsidR="008F16F3">
      <w:rPr>
        <w:sz w:val="24"/>
        <w:szCs w:val="24"/>
      </w:rPr>
      <w:fldChar w:fldCharType="begin"/>
    </w:r>
    <w:r>
      <w:rPr>
        <w:rStyle w:val="a6"/>
        <w:sz w:val="24"/>
        <w:szCs w:val="24"/>
      </w:rPr>
      <w:instrText xml:space="preserve">PAGE  </w:instrText>
    </w:r>
    <w:r w:rsidR="008F16F3">
      <w:rPr>
        <w:sz w:val="24"/>
        <w:szCs w:val="24"/>
      </w:rPr>
      <w:fldChar w:fldCharType="separate"/>
    </w:r>
    <w:r w:rsidR="005B1898">
      <w:rPr>
        <w:rStyle w:val="a6"/>
        <w:noProof/>
        <w:sz w:val="24"/>
        <w:szCs w:val="24"/>
      </w:rPr>
      <w:t>5</w:t>
    </w:r>
    <w:r w:rsidR="008F16F3">
      <w:rPr>
        <w:sz w:val="24"/>
        <w:szCs w:val="24"/>
      </w:rPr>
      <w:fldChar w:fldCharType="end"/>
    </w:r>
    <w:r>
      <w:rPr>
        <w:rStyle w:val="a6"/>
        <w:rFonts w:hint="eastAsia"/>
        <w:sz w:val="24"/>
        <w:szCs w:val="24"/>
      </w:rPr>
      <w:t>－</w:t>
    </w:r>
  </w:p>
  <w:p w:rsidR="004D42EA" w:rsidRDefault="004D42E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667" w:rsidRDefault="004B1667" w:rsidP="004D42EA">
      <w:r>
        <w:separator/>
      </w:r>
    </w:p>
  </w:footnote>
  <w:footnote w:type="continuationSeparator" w:id="1">
    <w:p w:rsidR="004B1667" w:rsidRDefault="004B1667" w:rsidP="004D42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2EA" w:rsidRDefault="004D42EA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0C105"/>
    <w:multiLevelType w:val="singleLevel"/>
    <w:tmpl w:val="58C0C105"/>
    <w:lvl w:ilvl="0">
      <w:start w:val="3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1CB00A2"/>
    <w:rsid w:val="000356FC"/>
    <w:rsid w:val="000870A2"/>
    <w:rsid w:val="000942C2"/>
    <w:rsid w:val="000F6D49"/>
    <w:rsid w:val="00114F5E"/>
    <w:rsid w:val="00150055"/>
    <w:rsid w:val="00192DA4"/>
    <w:rsid w:val="00197A94"/>
    <w:rsid w:val="001F4E7A"/>
    <w:rsid w:val="002D3C77"/>
    <w:rsid w:val="002F0C12"/>
    <w:rsid w:val="002F6096"/>
    <w:rsid w:val="00340CA8"/>
    <w:rsid w:val="003478B4"/>
    <w:rsid w:val="00353973"/>
    <w:rsid w:val="003B6187"/>
    <w:rsid w:val="00405913"/>
    <w:rsid w:val="00406F78"/>
    <w:rsid w:val="00410C6A"/>
    <w:rsid w:val="004246B3"/>
    <w:rsid w:val="004553B2"/>
    <w:rsid w:val="00456DBE"/>
    <w:rsid w:val="004606AA"/>
    <w:rsid w:val="00475DC2"/>
    <w:rsid w:val="00485A2E"/>
    <w:rsid w:val="004964E4"/>
    <w:rsid w:val="004A72B8"/>
    <w:rsid w:val="004B1667"/>
    <w:rsid w:val="004D42EA"/>
    <w:rsid w:val="004D5CFC"/>
    <w:rsid w:val="004E327B"/>
    <w:rsid w:val="00517407"/>
    <w:rsid w:val="00573C32"/>
    <w:rsid w:val="005924DA"/>
    <w:rsid w:val="005B1898"/>
    <w:rsid w:val="005B6057"/>
    <w:rsid w:val="005E5DE1"/>
    <w:rsid w:val="005F6F5F"/>
    <w:rsid w:val="00602686"/>
    <w:rsid w:val="00615B4F"/>
    <w:rsid w:val="00630147"/>
    <w:rsid w:val="00656FBF"/>
    <w:rsid w:val="00671771"/>
    <w:rsid w:val="006D7C50"/>
    <w:rsid w:val="006D7D8E"/>
    <w:rsid w:val="00703CEB"/>
    <w:rsid w:val="00711B7B"/>
    <w:rsid w:val="00713F51"/>
    <w:rsid w:val="00717356"/>
    <w:rsid w:val="007C4AC6"/>
    <w:rsid w:val="007C561C"/>
    <w:rsid w:val="007E61EC"/>
    <w:rsid w:val="008457F9"/>
    <w:rsid w:val="0086605B"/>
    <w:rsid w:val="008673B5"/>
    <w:rsid w:val="00876D90"/>
    <w:rsid w:val="00877B26"/>
    <w:rsid w:val="008F16F3"/>
    <w:rsid w:val="00920462"/>
    <w:rsid w:val="00942207"/>
    <w:rsid w:val="00947045"/>
    <w:rsid w:val="009A6365"/>
    <w:rsid w:val="00A3476C"/>
    <w:rsid w:val="00A41BDA"/>
    <w:rsid w:val="00A956DD"/>
    <w:rsid w:val="00AC1D01"/>
    <w:rsid w:val="00B57F94"/>
    <w:rsid w:val="00B87343"/>
    <w:rsid w:val="00BF0EBC"/>
    <w:rsid w:val="00BF2D1A"/>
    <w:rsid w:val="00BF77B9"/>
    <w:rsid w:val="00C0647F"/>
    <w:rsid w:val="00C5276D"/>
    <w:rsid w:val="00C912DA"/>
    <w:rsid w:val="00CA503B"/>
    <w:rsid w:val="00CB159B"/>
    <w:rsid w:val="00D447BA"/>
    <w:rsid w:val="00D61EA1"/>
    <w:rsid w:val="00D62F88"/>
    <w:rsid w:val="00DC58CE"/>
    <w:rsid w:val="00E061FB"/>
    <w:rsid w:val="00E66155"/>
    <w:rsid w:val="00EA2588"/>
    <w:rsid w:val="00EC226F"/>
    <w:rsid w:val="00EC39E7"/>
    <w:rsid w:val="00EE704E"/>
    <w:rsid w:val="00F01F8F"/>
    <w:rsid w:val="00F04BB9"/>
    <w:rsid w:val="00F21007"/>
    <w:rsid w:val="00F46B19"/>
    <w:rsid w:val="00FB51BC"/>
    <w:rsid w:val="075B0021"/>
    <w:rsid w:val="0855132B"/>
    <w:rsid w:val="13D910B7"/>
    <w:rsid w:val="18D70FE6"/>
    <w:rsid w:val="1E777800"/>
    <w:rsid w:val="268152EC"/>
    <w:rsid w:val="26A04301"/>
    <w:rsid w:val="2B0446DA"/>
    <w:rsid w:val="2D4A6FC9"/>
    <w:rsid w:val="2ECB2CE0"/>
    <w:rsid w:val="310F0F01"/>
    <w:rsid w:val="3C4D2655"/>
    <w:rsid w:val="3EA928E6"/>
    <w:rsid w:val="404419B1"/>
    <w:rsid w:val="42D61640"/>
    <w:rsid w:val="43B06C28"/>
    <w:rsid w:val="43CA5C21"/>
    <w:rsid w:val="51CB00A2"/>
    <w:rsid w:val="54B173D9"/>
    <w:rsid w:val="5F9F510F"/>
    <w:rsid w:val="5FE21E8A"/>
    <w:rsid w:val="71A95FC1"/>
    <w:rsid w:val="77651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Body Text" w:qFormat="1"/>
    <w:lsdException w:name="Subtitle" w:qFormat="1"/>
    <w:lsdException w:name="Body Text Indent 3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2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4D42EA"/>
    <w:pPr>
      <w:spacing w:after="120"/>
    </w:pPr>
  </w:style>
  <w:style w:type="paragraph" w:styleId="a4">
    <w:name w:val="footer"/>
    <w:basedOn w:val="a"/>
    <w:qFormat/>
    <w:rsid w:val="004D42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4D42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qFormat/>
    <w:rsid w:val="004D42EA"/>
    <w:pPr>
      <w:spacing w:line="540" w:lineRule="exact"/>
      <w:ind w:firstLineChars="200" w:firstLine="640"/>
    </w:pPr>
    <w:rPr>
      <w:rFonts w:ascii="仿宋_GB2312" w:eastAsia="仿宋_GB2312" w:hAnsi="Calibri" w:cs="Times New Roman"/>
      <w:sz w:val="32"/>
    </w:rPr>
  </w:style>
  <w:style w:type="character" w:styleId="a6">
    <w:name w:val="page number"/>
    <w:basedOn w:val="a0"/>
    <w:qFormat/>
    <w:rsid w:val="004D42EA"/>
  </w:style>
  <w:style w:type="character" w:styleId="a7">
    <w:name w:val="Hyperlink"/>
    <w:basedOn w:val="a0"/>
    <w:uiPriority w:val="99"/>
    <w:unhideWhenUsed/>
    <w:qFormat/>
    <w:rsid w:val="004D42EA"/>
    <w:rPr>
      <w:color w:val="0000FF"/>
      <w:u w:val="single"/>
    </w:rPr>
  </w:style>
  <w:style w:type="character" w:customStyle="1" w:styleId="3Char">
    <w:name w:val="正文文本缩进 3 Char"/>
    <w:basedOn w:val="a0"/>
    <w:link w:val="3"/>
    <w:qFormat/>
    <w:rsid w:val="004D42EA"/>
    <w:rPr>
      <w:rFonts w:ascii="仿宋_GB2312" w:eastAsia="仿宋_GB2312" w:hAnsi="Calibri" w:cs="Times New Roman"/>
      <w:kern w:val="2"/>
      <w:sz w:val="32"/>
      <w:szCs w:val="24"/>
    </w:rPr>
  </w:style>
  <w:style w:type="paragraph" w:customStyle="1" w:styleId="1">
    <w:name w:val="列出段落1"/>
    <w:basedOn w:val="a"/>
    <w:uiPriority w:val="99"/>
    <w:unhideWhenUsed/>
    <w:qFormat/>
    <w:rsid w:val="004D42EA"/>
    <w:pPr>
      <w:ind w:firstLineChars="200" w:firstLine="420"/>
    </w:pPr>
  </w:style>
  <w:style w:type="character" w:customStyle="1" w:styleId="Char">
    <w:name w:val="正文文本 Char"/>
    <w:basedOn w:val="a0"/>
    <w:link w:val="a3"/>
    <w:qFormat/>
    <w:rsid w:val="004D42EA"/>
    <w:rPr>
      <w:kern w:val="2"/>
      <w:sz w:val="21"/>
      <w:szCs w:val="24"/>
    </w:rPr>
  </w:style>
  <w:style w:type="paragraph" w:customStyle="1" w:styleId="TableParagraph">
    <w:name w:val="Table Paragraph"/>
    <w:basedOn w:val="a"/>
    <w:uiPriority w:val="1"/>
    <w:qFormat/>
    <w:rsid w:val="004D42EA"/>
    <w:pPr>
      <w:jc w:val="left"/>
    </w:pPr>
    <w:rPr>
      <w:kern w:val="0"/>
      <w:sz w:val="22"/>
      <w:szCs w:val="22"/>
      <w:lang w:eastAsia="en-US"/>
    </w:rPr>
  </w:style>
  <w:style w:type="character" w:customStyle="1" w:styleId="fontstyle01">
    <w:name w:val="fontstyle01"/>
    <w:basedOn w:val="a0"/>
    <w:qFormat/>
    <w:rsid w:val="004D42EA"/>
    <w:rPr>
      <w:rFonts w:ascii="宋体" w:eastAsia="宋体" w:hAnsi="宋体" w:hint="eastAs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7%AE%A1%E7%90%8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aike.baidu.com/item/%E6%9D%A1%E4%BE%8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9</cp:revision>
  <cp:lastPrinted>2017-08-07T00:50:00Z</cp:lastPrinted>
  <dcterms:created xsi:type="dcterms:W3CDTF">2017-08-05T01:50:00Z</dcterms:created>
  <dcterms:modified xsi:type="dcterms:W3CDTF">2017-09-24T01:26:00Z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