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6"/>
        <w:rPr>
          <w:sz w:val="36"/>
          <w:szCs w:val="36"/>
        </w:rPr>
      </w:pPr>
      <w:r>
        <w:rPr>
          <w:rFonts w:hint="eastAsia"/>
          <w:sz w:val="36"/>
          <w:szCs w:val="36"/>
        </w:rPr>
        <w:t>山东双花制药有限公司环境信息公开材料</w:t>
      </w:r>
    </w:p>
    <w:p>
      <w:pPr>
        <w:ind w:firstLine="560" w:firstLineChars="200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28"/>
          <w:szCs w:val="28"/>
        </w:rPr>
        <w:t>为维护公民、法人和其他组织依法享有获取环境信息的权利，推动公众参与和监督环境保护，根据《中华人民共和国环境保护法》及《企业事业单位环境信息公开办法》（中华人民共和国环境保护部令第</w:t>
      </w:r>
      <w:r>
        <w:rPr>
          <w:rFonts w:ascii="仿宋" w:hAnsi="仿宋" w:eastAsia="仿宋"/>
          <w:sz w:val="28"/>
          <w:szCs w:val="28"/>
        </w:rPr>
        <w:t>31</w:t>
      </w:r>
      <w:r>
        <w:rPr>
          <w:rFonts w:hint="eastAsia" w:ascii="仿宋" w:hAnsi="仿宋" w:eastAsia="仿宋"/>
          <w:sz w:val="28"/>
          <w:szCs w:val="28"/>
        </w:rPr>
        <w:t>号）有关规定，现将我公司有关情况公开如下：</w:t>
      </w: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一、基础信息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山东双花制药有限公司始建于</w:t>
      </w:r>
      <w:r>
        <w:rPr>
          <w:rFonts w:ascii="仿宋" w:hAnsi="仿宋" w:eastAsia="仿宋"/>
          <w:sz w:val="28"/>
          <w:szCs w:val="28"/>
        </w:rPr>
        <w:t>19</w:t>
      </w:r>
      <w:r>
        <w:rPr>
          <w:rFonts w:hint="eastAsia" w:ascii="仿宋" w:hAnsi="仿宋" w:eastAsia="仿宋"/>
          <w:sz w:val="28"/>
          <w:szCs w:val="28"/>
        </w:rPr>
        <w:t>98年，是一家以生产销售中药饮片、中药提取物、化学原料药为主及中药材种植、加工、销售的综合性制药企业，是山东省第一家取得中药提取生产的合法企业。公司拥有现代化的制药设备和先进的质量检测仪器，建有符合GMP要求的生产厂房和达到D级净化要求的洁净车间，公司于2012年通过了中药饮片和化学原料药黄芩苷的新版GMP认证。公司建有15000亩的金银花规范化种植基地，并于2009年通过了国家药监局的GAP认证。近年来，公司被评为“省级林业产业化龙头企业”，“市级农业产业化龙头企业”、“高新区重点扶持企业”、“市级重合同守信用企业”、“安全生产达标企业”“劳动保障先进企业”等.公司基本情况如表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表</w:t>
      </w:r>
      <w:r>
        <w:rPr>
          <w:rFonts w:ascii="仿宋" w:hAnsi="仿宋" w:eastAsia="仿宋"/>
          <w:b/>
          <w:sz w:val="24"/>
          <w:szCs w:val="24"/>
        </w:rPr>
        <w:t xml:space="preserve">1  </w:t>
      </w:r>
      <w:r>
        <w:rPr>
          <w:rFonts w:hint="eastAsia" w:ascii="仿宋" w:hAnsi="仿宋" w:eastAsia="仿宋"/>
          <w:b/>
          <w:sz w:val="24"/>
          <w:szCs w:val="24"/>
        </w:rPr>
        <w:t>公司基本情况表</w:t>
      </w:r>
    </w:p>
    <w:tbl>
      <w:tblPr>
        <w:tblStyle w:val="9"/>
        <w:tblW w:w="10098" w:type="dxa"/>
        <w:tblInd w:w="0" w:type="dxa"/>
        <w:tblBorders>
          <w:top w:val="thinThickSmallGap" w:color="auto" w:sz="24" w:space="0"/>
          <w:left w:val="none" w:color="auto" w:sz="0" w:space="0"/>
          <w:bottom w:val="thickThinSmallGap" w:color="auto" w:sz="2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3"/>
        <w:gridCol w:w="7115"/>
      </w:tblGrid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  <w:tcBorders>
              <w:top w:val="thinThickSmallGap" w:color="auto" w:sz="24" w:space="0"/>
            </w:tcBorders>
          </w:tcPr>
          <w:p>
            <w:pPr>
              <w:tabs>
                <w:tab w:val="center" w:pos="1363"/>
                <w:tab w:val="right" w:pos="2727"/>
              </w:tabs>
              <w:spacing w:line="400" w:lineRule="exact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ab/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项目名称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ab/>
            </w:r>
          </w:p>
        </w:tc>
        <w:tc>
          <w:tcPr>
            <w:tcW w:w="7115" w:type="dxa"/>
            <w:tcBorders>
              <w:top w:val="thinThickSmallGap" w:color="auto" w:sz="24" w:space="0"/>
            </w:tcBorders>
          </w:tcPr>
          <w:p>
            <w:pPr>
              <w:spacing w:line="40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内容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单位名称</w:t>
            </w:r>
          </w:p>
        </w:tc>
        <w:tc>
          <w:tcPr>
            <w:tcW w:w="7115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山东双花制药有限公司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组织机构代码</w:t>
            </w:r>
          </w:p>
        </w:tc>
        <w:tc>
          <w:tcPr>
            <w:tcW w:w="7115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91371300744534355p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法定代表人</w:t>
            </w:r>
          </w:p>
        </w:tc>
        <w:tc>
          <w:tcPr>
            <w:tcW w:w="7115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张纪华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地址</w:t>
            </w:r>
          </w:p>
        </w:tc>
        <w:tc>
          <w:tcPr>
            <w:tcW w:w="7115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临沂国家高新技术产业开发区科苑路</w:t>
            </w:r>
            <w:r>
              <w:rPr>
                <w:rFonts w:ascii="仿宋" w:hAnsi="仿宋" w:eastAsia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sz w:val="24"/>
                <w:szCs w:val="24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联系方式</w:t>
            </w:r>
          </w:p>
        </w:tc>
        <w:tc>
          <w:tcPr>
            <w:tcW w:w="7115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0539-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7200567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983" w:type="dxa"/>
            <w:tcBorders>
              <w:bottom w:val="thickThinSmallGap" w:color="auto" w:sz="24" w:space="0"/>
            </w:tcBorders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主要产品及规模</w:t>
            </w:r>
          </w:p>
        </w:tc>
        <w:tc>
          <w:tcPr>
            <w:tcW w:w="7115" w:type="dxa"/>
            <w:tcBorders>
              <w:bottom w:val="thickThinSmallGap" w:color="auto" w:sz="24" w:space="0"/>
            </w:tcBorders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中药提取物、化学原料药1000吨</w:t>
            </w:r>
          </w:p>
        </w:tc>
      </w:tr>
    </w:tbl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二、排污信息</w:t>
      </w:r>
    </w:p>
    <w:p>
      <w:pPr>
        <w:ind w:firstLine="55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我公司的污染物主要有废水和废气两个部分（污染物排放见图1）。公司废水排放污染物监测指标主要有</w:t>
      </w:r>
      <w:r>
        <w:rPr>
          <w:rFonts w:ascii="仿宋" w:hAnsi="仿宋" w:eastAsia="仿宋"/>
          <w:sz w:val="28"/>
          <w:szCs w:val="28"/>
        </w:rPr>
        <w:t>COD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NH</w:t>
      </w:r>
      <w:r>
        <w:rPr>
          <w:rFonts w:ascii="仿宋" w:hAnsi="仿宋" w:eastAsia="仿宋"/>
          <w:sz w:val="28"/>
          <w:szCs w:val="28"/>
          <w:vertAlign w:val="subscript"/>
        </w:rPr>
        <w:t>4</w:t>
      </w:r>
      <w:r>
        <w:rPr>
          <w:rFonts w:ascii="仿宋" w:hAnsi="仿宋" w:eastAsia="仿宋"/>
          <w:sz w:val="28"/>
          <w:szCs w:val="28"/>
        </w:rPr>
        <w:t>-N</w:t>
      </w:r>
      <w:r>
        <w:rPr>
          <w:rFonts w:hint="eastAsia" w:ascii="仿宋" w:hAnsi="仿宋" w:eastAsia="仿宋"/>
          <w:sz w:val="28"/>
          <w:szCs w:val="28"/>
        </w:rPr>
        <w:t>等，执行《污水排入城镇下水道水质标准》（CJ343</w:t>
      </w:r>
      <w:r>
        <w:rPr>
          <w:rFonts w:ascii="仿宋" w:hAnsi="仿宋" w:eastAsia="仿宋"/>
          <w:sz w:val="28"/>
          <w:szCs w:val="28"/>
        </w:rPr>
        <w:t>-20</w:t>
      </w:r>
      <w:r>
        <w:rPr>
          <w:rFonts w:hint="eastAsia" w:ascii="仿宋" w:hAnsi="仿宋" w:eastAsia="仿宋"/>
          <w:sz w:val="28"/>
          <w:szCs w:val="28"/>
        </w:rPr>
        <w:t>10）表1B级标准，污水排入高新区污水管网；废气排放污染物主要有颗粒物</w:t>
      </w:r>
      <w:r>
        <w:rPr>
          <w:rFonts w:hint="eastAsia" w:ascii="仿宋" w:hAnsi="仿宋" w:eastAsia="仿宋"/>
          <w:color w:val="0000FF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SO</w:t>
      </w:r>
      <w:r>
        <w:rPr>
          <w:rFonts w:ascii="仿宋" w:hAnsi="仿宋" w:eastAsia="仿宋"/>
          <w:sz w:val="28"/>
          <w:szCs w:val="28"/>
          <w:vertAlign w:val="subscript"/>
        </w:rPr>
        <w:t>2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NO</w:t>
      </w:r>
      <w:r>
        <w:rPr>
          <w:rFonts w:ascii="仿宋" w:hAnsi="仿宋" w:eastAsia="仿宋"/>
          <w:sz w:val="28"/>
          <w:szCs w:val="28"/>
          <w:vertAlign w:val="subscript"/>
        </w:rPr>
        <w:t>X</w:t>
      </w:r>
      <w:r>
        <w:rPr>
          <w:rFonts w:hint="eastAsia" w:ascii="仿宋" w:hAnsi="仿宋" w:eastAsia="仿宋"/>
          <w:sz w:val="28"/>
          <w:szCs w:val="28"/>
        </w:rPr>
        <w:t>等，满足《山东省锅炉大气污染物排放标准》（D</w:t>
      </w:r>
      <w:r>
        <w:rPr>
          <w:rFonts w:ascii="仿宋" w:hAnsi="仿宋" w:eastAsia="仿宋"/>
          <w:sz w:val="28"/>
          <w:szCs w:val="28"/>
        </w:rPr>
        <w:t>B</w:t>
      </w:r>
      <w:r>
        <w:rPr>
          <w:rFonts w:hint="eastAsia" w:ascii="仿宋" w:hAnsi="仿宋" w:eastAsia="仿宋"/>
          <w:sz w:val="28"/>
          <w:szCs w:val="28"/>
        </w:rPr>
        <w:t>37/2347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2013）标准要求。主要污染物排放情况见表1。</w:t>
      </w: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</w:t>
      </w:r>
      <w:r>
        <w:rPr>
          <w:rFonts w:ascii="仿宋" w:hAnsi="仿宋" w:eastAsia="仿宋"/>
          <w:b/>
          <w:sz w:val="24"/>
          <w:szCs w:val="24"/>
        </w:rPr>
        <w:t xml:space="preserve">1  </w:t>
      </w:r>
      <w:r>
        <w:rPr>
          <w:rFonts w:hint="eastAsia" w:ascii="仿宋" w:hAnsi="仿宋" w:eastAsia="仿宋"/>
          <w:b/>
          <w:sz w:val="24"/>
          <w:szCs w:val="24"/>
        </w:rPr>
        <w:t>公司污染物排放分布</w:t>
      </w:r>
      <w:r>
        <w:rPr>
          <w:rFonts w:ascii="仿宋" w:hAnsi="仿宋" w:eastAsia="仿宋"/>
          <w:b/>
          <w:sz w:val="24"/>
          <w:szCs w:val="24"/>
        </w:rPr>
        <w:drawing>
          <wp:inline distT="0" distB="0" distL="0" distR="0">
            <wp:extent cx="6141720" cy="6409055"/>
            <wp:effectExtent l="0" t="0" r="0" b="0"/>
            <wp:docPr id="49" name="图片 49" descr="C:\Users\Administrator\Desktop\zx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zxh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64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 w:firstLine="129"/>
        <w:jc w:val="center"/>
        <w:rPr>
          <w:rFonts w:ascii="仿宋" w:hAnsi="仿宋" w:eastAsia="仿宋"/>
          <w:b/>
          <w:color w:val="0000FF"/>
          <w:sz w:val="52"/>
          <w:szCs w:val="52"/>
        </w:rPr>
      </w:pPr>
      <w:r>
        <w:rPr>
          <w:rFonts w:hint="eastAsia" w:ascii="仿宋" w:hAnsi="仿宋" w:eastAsia="仿宋"/>
          <w:b/>
          <w:sz w:val="24"/>
          <w:szCs w:val="24"/>
        </w:rPr>
        <w:t>表1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公司主要污染物及排放情况</w:t>
      </w: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</w:p>
    <w:tbl>
      <w:tblPr>
        <w:tblStyle w:val="9"/>
        <w:tblW w:w="8894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710"/>
        <w:gridCol w:w="1783"/>
        <w:gridCol w:w="1739"/>
        <w:gridCol w:w="23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1271" w:type="dxa"/>
            <w:shd w:val="clear" w:color="auto" w:fill="auto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名称</w:t>
            </w: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主要污染物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监测</w:t>
            </w:r>
            <w:r>
              <w:rPr>
                <w:rFonts w:hint="eastAsia"/>
                <w:b/>
                <w:kern w:val="0"/>
                <w:sz w:val="24"/>
                <w:szCs w:val="24"/>
                <w:lang w:eastAsia="zh-CN"/>
              </w:rPr>
              <w:t>平均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值</w:t>
            </w:r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排放限值</w:t>
            </w:r>
          </w:p>
        </w:tc>
        <w:tc>
          <w:tcPr>
            <w:tcW w:w="2391" w:type="dxa"/>
            <w:shd w:val="clear" w:color="auto" w:fill="auto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排放标准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27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废水</w:t>
            </w: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COD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236</w:t>
            </w:r>
            <w:r>
              <w:rPr>
                <w:rFonts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mg/L</w:t>
            </w:r>
            <w:bookmarkStart w:id="0" w:name="_GoBack"/>
            <w:bookmarkEnd w:id="0"/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500 mg/L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《污水排入城镇下水道水质标准》（CJ343-2010）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27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NH4-N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0.103</w:t>
            </w:r>
            <w:r>
              <w:rPr>
                <w:rFonts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45mg/L</w:t>
            </w:r>
          </w:p>
        </w:tc>
        <w:tc>
          <w:tcPr>
            <w:tcW w:w="239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27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废气</w:t>
            </w: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SO2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127mg/m3</w:t>
            </w:r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200 mg/m3</w:t>
            </w:r>
          </w:p>
        </w:tc>
        <w:tc>
          <w:tcPr>
            <w:tcW w:w="239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《山东省锅炉大气污染物排放标准》（DB37/2347-2013）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27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NOX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166mg/m3</w:t>
            </w:r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300 mg/m3</w:t>
            </w:r>
          </w:p>
        </w:tc>
        <w:tc>
          <w:tcPr>
            <w:tcW w:w="239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27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颗粒物</w:t>
            </w:r>
          </w:p>
        </w:tc>
        <w:tc>
          <w:tcPr>
            <w:tcW w:w="178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13.5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mg/m3</w:t>
            </w:r>
          </w:p>
        </w:tc>
        <w:tc>
          <w:tcPr>
            <w:tcW w:w="1739" w:type="dxa"/>
            <w:shd w:val="clear" w:color="auto" w:fill="auto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30</w:t>
            </w:r>
            <w:r>
              <w:t xml:space="preserve"> </w:t>
            </w:r>
            <w:r>
              <w:rPr>
                <w:kern w:val="0"/>
                <w:sz w:val="24"/>
                <w:szCs w:val="24"/>
              </w:rPr>
              <w:t>mg/m3</w:t>
            </w:r>
          </w:p>
        </w:tc>
        <w:tc>
          <w:tcPr>
            <w:tcW w:w="2391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</w:p>
        </w:tc>
      </w:tr>
    </w:tbl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三、防治污染设施的建设和运行情况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公司投资600余万元对污水处理站进行搬迁改造，污水处理采用“气浮+UASB+接触氧化+混凝沉淀”工艺，污水达标后排入高新区污水处理厂，处理能力达5</w:t>
      </w:r>
      <w:r>
        <w:rPr>
          <w:rFonts w:ascii="仿宋" w:hAnsi="仿宋" w:eastAsia="仿宋"/>
          <w:sz w:val="28"/>
          <w:szCs w:val="28"/>
        </w:rPr>
        <w:t>00</w:t>
      </w:r>
      <w:r>
        <w:rPr>
          <w:rFonts w:hint="eastAsia" w:ascii="仿宋" w:hAnsi="仿宋" w:eastAsia="仿宋"/>
          <w:sz w:val="28"/>
          <w:szCs w:val="28"/>
        </w:rPr>
        <w:t>立方米</w:t>
      </w:r>
      <w:r>
        <w:rPr>
          <w:rFonts w:ascii="仿宋" w:hAnsi="仿宋" w:eastAsia="仿宋"/>
          <w:sz w:val="28"/>
          <w:szCs w:val="28"/>
        </w:rPr>
        <w:t>/</w:t>
      </w:r>
      <w:r>
        <w:rPr>
          <w:rFonts w:hint="eastAsia" w:ascii="仿宋" w:hAnsi="仿宋" w:eastAsia="仿宋"/>
          <w:sz w:val="28"/>
          <w:szCs w:val="28"/>
        </w:rPr>
        <w:t>天；投资</w:t>
      </w:r>
      <w:r>
        <w:rPr>
          <w:rFonts w:ascii="仿宋" w:hAnsi="仿宋" w:eastAsia="仿宋"/>
          <w:sz w:val="28"/>
          <w:szCs w:val="28"/>
        </w:rPr>
        <w:t>20</w:t>
      </w:r>
      <w:r>
        <w:rPr>
          <w:rFonts w:hint="eastAsia" w:ascii="仿宋" w:hAnsi="仿宋" w:eastAsia="仿宋"/>
          <w:sz w:val="28"/>
          <w:szCs w:val="28"/>
        </w:rPr>
        <w:t>余万元，在污水排放口安装了</w:t>
      </w:r>
      <w:r>
        <w:rPr>
          <w:rFonts w:ascii="仿宋" w:hAnsi="仿宋" w:eastAsia="仿宋"/>
          <w:sz w:val="28"/>
          <w:szCs w:val="28"/>
        </w:rPr>
        <w:t>COD</w:t>
      </w:r>
      <w:r>
        <w:rPr>
          <w:rFonts w:hint="eastAsia" w:ascii="仿宋" w:hAnsi="仿宋" w:eastAsia="仿宋"/>
          <w:sz w:val="28"/>
          <w:szCs w:val="28"/>
        </w:rPr>
        <w:t>在线监测设备并将与环保部门联网。锅炉废气采用“低氮燃烧+SNCR+炉内脱硝+袋式除尘器+钠钙双碱法”工艺进行处理，废气经处理后通过 45M高烟囱排放，并投资30万元安装了废气在线监测设备，也将与环保部门联网， 对SO</w:t>
      </w:r>
      <w:r>
        <w:rPr>
          <w:rFonts w:hint="eastAsia" w:ascii="仿宋" w:hAnsi="仿宋" w:eastAsia="仿宋"/>
          <w:sz w:val="28"/>
          <w:szCs w:val="28"/>
          <w:vertAlign w:val="subscript"/>
        </w:rPr>
        <w:t>2</w:t>
      </w:r>
      <w:r>
        <w:rPr>
          <w:rFonts w:hint="eastAsia" w:ascii="仿宋" w:hAnsi="仿宋" w:eastAsia="仿宋"/>
          <w:sz w:val="28"/>
          <w:szCs w:val="28"/>
        </w:rPr>
        <w:t>和</w:t>
      </w:r>
      <w:r>
        <w:rPr>
          <w:rFonts w:ascii="仿宋" w:hAnsi="仿宋" w:eastAsia="仿宋"/>
          <w:sz w:val="28"/>
          <w:szCs w:val="28"/>
        </w:rPr>
        <w:t>NO</w:t>
      </w:r>
      <w:r>
        <w:rPr>
          <w:rFonts w:ascii="仿宋" w:hAnsi="仿宋" w:eastAsia="仿宋"/>
          <w:sz w:val="28"/>
          <w:szCs w:val="28"/>
          <w:vertAlign w:val="subscript"/>
        </w:rPr>
        <w:t>X</w:t>
      </w:r>
      <w:r>
        <w:rPr>
          <w:rFonts w:hint="eastAsia" w:ascii="仿宋" w:hAnsi="仿宋" w:eastAsia="仿宋"/>
          <w:sz w:val="28"/>
          <w:szCs w:val="28"/>
        </w:rPr>
        <w:t>进行实时监测。具体防治污染设施的建设和运行情况见表2。</w:t>
      </w: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表2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防治污染设施的建设和运行情况表</w:t>
      </w:r>
    </w:p>
    <w:tbl>
      <w:tblPr>
        <w:tblStyle w:val="9"/>
        <w:tblW w:w="9286" w:type="dxa"/>
        <w:tblInd w:w="0" w:type="dxa"/>
        <w:tblBorders>
          <w:top w:val="thinThickSmallGap" w:color="auto" w:sz="24" w:space="0"/>
          <w:left w:val="none" w:color="auto" w:sz="0" w:space="0"/>
          <w:bottom w:val="thickThinSmallGap" w:color="auto" w:sz="2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4803"/>
        <w:gridCol w:w="1693"/>
        <w:gridCol w:w="1219"/>
        <w:gridCol w:w="1013"/>
      </w:tblGrid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558" w:type="dxa"/>
            <w:tcBorders>
              <w:top w:val="thinThick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序号</w:t>
            </w:r>
          </w:p>
        </w:tc>
        <w:tc>
          <w:tcPr>
            <w:tcW w:w="4803" w:type="dxa"/>
            <w:tcBorders>
              <w:top w:val="thinThick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建设防治污染设施及工艺</w:t>
            </w:r>
          </w:p>
        </w:tc>
        <w:tc>
          <w:tcPr>
            <w:tcW w:w="1693" w:type="dxa"/>
            <w:tcBorders>
              <w:top w:val="thinThick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处置污染类型</w:t>
            </w:r>
          </w:p>
        </w:tc>
        <w:tc>
          <w:tcPr>
            <w:tcW w:w="1219" w:type="dxa"/>
            <w:tcBorders>
              <w:top w:val="thinThick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车间</w:t>
            </w:r>
          </w:p>
        </w:tc>
        <w:tc>
          <w:tcPr>
            <w:tcW w:w="1013" w:type="dxa"/>
            <w:tcBorders>
              <w:top w:val="thinThickSmallGap" w:color="auto" w:sz="2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是否正常运行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55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4803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污水处理设施；工艺：“气浮+UASB+接触氧化+混凝沉淀”处理工艺。</w:t>
            </w:r>
          </w:p>
        </w:tc>
        <w:tc>
          <w:tcPr>
            <w:tcW w:w="1693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中药提取污水、生活污水</w:t>
            </w:r>
          </w:p>
        </w:tc>
        <w:tc>
          <w:tcPr>
            <w:tcW w:w="1219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公司污水处理站</w:t>
            </w:r>
          </w:p>
        </w:tc>
        <w:tc>
          <w:tcPr>
            <w:tcW w:w="1013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是</w:t>
            </w:r>
          </w:p>
        </w:tc>
      </w:tr>
      <w:tr>
        <w:tblPrEx>
          <w:tblBorders>
            <w:top w:val="thinThickSmallGap" w:color="auto" w:sz="24" w:space="0"/>
            <w:left w:val="none" w:color="auto" w:sz="0" w:space="0"/>
            <w:bottom w:val="thickThinSmallGap" w:color="auto" w:sz="2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558" w:type="dxa"/>
            <w:tcBorders>
              <w:bottom w:val="thickThin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4803" w:type="dxa"/>
            <w:tcBorders>
              <w:bottom w:val="thickThinSmallGap" w:color="auto" w:sz="24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锅炉废气处理设施；工艺： “低氮燃烧+SNCR+炉内脱硝+袋式除尘器+钠钙双碱法”处理工艺。</w:t>
            </w:r>
          </w:p>
        </w:tc>
        <w:tc>
          <w:tcPr>
            <w:tcW w:w="1693" w:type="dxa"/>
            <w:tcBorders>
              <w:bottom w:val="thickThinSmallGap" w:color="auto" w:sz="24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水煤浆锅炉废气</w:t>
            </w:r>
          </w:p>
        </w:tc>
        <w:tc>
          <w:tcPr>
            <w:tcW w:w="1219" w:type="dxa"/>
            <w:tcBorders>
              <w:bottom w:val="thickThinSmallGap" w:color="auto" w:sz="24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锅炉房</w:t>
            </w:r>
          </w:p>
        </w:tc>
        <w:tc>
          <w:tcPr>
            <w:tcW w:w="1013" w:type="dxa"/>
            <w:tcBorders>
              <w:bottom w:val="thickThinSmallGap" w:color="auto" w:sz="2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是</w:t>
            </w:r>
          </w:p>
        </w:tc>
      </w:tr>
    </w:tbl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四、建设项目环境影响评价及其他环境保护行政许可情况</w:t>
      </w:r>
    </w:p>
    <w:p>
      <w:pPr>
        <w:ind w:firstLine="55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司建设项目严格执行建设项目环境影响评价和环保“三同时”制度，确保建设项目中防止污染的设施与主体工程同时设计、同时施工、同时投产使用，认真落实环保相关法律法规的要求。我公司具体建设项目及手续见表3。</w:t>
      </w:r>
    </w:p>
    <w:p>
      <w:pPr>
        <w:ind w:firstLine="555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表3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建设项目环评手续一览表</w:t>
      </w:r>
    </w:p>
    <w:p>
      <w:pPr>
        <w:ind w:firstLine="555"/>
        <w:rPr>
          <w:rFonts w:ascii="仿宋" w:hAnsi="仿宋" w:eastAsia="仿宋"/>
          <w:sz w:val="24"/>
          <w:szCs w:val="24"/>
        </w:rPr>
      </w:pPr>
    </w:p>
    <w:tbl>
      <w:tblPr>
        <w:tblStyle w:val="9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793"/>
        <w:gridCol w:w="1477"/>
        <w:gridCol w:w="12"/>
        <w:gridCol w:w="1978"/>
        <w:gridCol w:w="1706"/>
        <w:gridCol w:w="14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793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环评</w:t>
            </w:r>
            <w:r>
              <w:rPr>
                <w:rFonts w:hint="eastAsia"/>
                <w:lang w:eastAsia="zh-CN"/>
              </w:rPr>
              <w:t>文号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批复时间</w:t>
            </w:r>
          </w:p>
        </w:tc>
        <w:tc>
          <w:tcPr>
            <w:tcW w:w="170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验收</w:t>
            </w:r>
            <w:r>
              <w:rPr>
                <w:rFonts w:hint="eastAsia"/>
                <w:lang w:eastAsia="zh-CN"/>
              </w:rPr>
              <w:t>文号</w:t>
            </w:r>
          </w:p>
        </w:tc>
        <w:tc>
          <w:tcPr>
            <w:tcW w:w="144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lang w:eastAsia="zh-CN"/>
              </w:rPr>
              <w:t>验收</w:t>
            </w:r>
            <w:r>
              <w:rPr>
                <w:rFonts w:hint="eastAsia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</w:trPr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93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中药提取物（黄芩苷等）及成品药生产线项目</w:t>
            </w:r>
          </w:p>
        </w:tc>
        <w:tc>
          <w:tcPr>
            <w:tcW w:w="1477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临环函【2006】171号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2006年6月23日</w:t>
            </w:r>
          </w:p>
        </w:tc>
        <w:tc>
          <w:tcPr>
            <w:tcW w:w="170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临环验【2008】64号</w:t>
            </w:r>
          </w:p>
        </w:tc>
        <w:tc>
          <w:tcPr>
            <w:tcW w:w="144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2008年9月22日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污水处理再提高工程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临环函【2011】77号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2011年7月22日</w:t>
            </w:r>
          </w:p>
        </w:tc>
        <w:tc>
          <w:tcPr>
            <w:tcW w:w="170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临环开验【2011】16号</w:t>
            </w:r>
          </w:p>
        </w:tc>
        <w:tc>
          <w:tcPr>
            <w:tcW w:w="144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2011年8月14日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</w:trPr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93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锅炉改造项目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临环开函【2014】51号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2014年4月23日</w:t>
            </w:r>
          </w:p>
        </w:tc>
        <w:tc>
          <w:tcPr>
            <w:tcW w:w="3154" w:type="dxa"/>
            <w:gridSpan w:val="2"/>
            <w:tcBorders/>
            <w:shd w:val="clear" w:color="auto" w:fill="auto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auto"/>
              </w:rPr>
              <w:t>试运行，待验收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93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污水处理站搬迁技改项目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临环开函【2015】9号</w:t>
            </w:r>
          </w:p>
        </w:tc>
        <w:tc>
          <w:tcPr>
            <w:tcW w:w="1978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2015年1月13日</w:t>
            </w:r>
          </w:p>
        </w:tc>
        <w:tc>
          <w:tcPr>
            <w:tcW w:w="3154" w:type="dxa"/>
            <w:gridSpan w:val="2"/>
            <w:tcBorders/>
            <w:shd w:val="clear" w:color="auto" w:fill="auto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auto"/>
              </w:rPr>
              <w:t>试运行、待验收</w:t>
            </w:r>
          </w:p>
        </w:tc>
      </w:tr>
    </w:tbl>
    <w:p>
      <w:pPr>
        <w:ind w:firstLine="555"/>
        <w:rPr>
          <w:rFonts w:ascii="仿宋" w:hAnsi="仿宋" w:eastAsia="仿宋"/>
          <w:sz w:val="24"/>
          <w:szCs w:val="24"/>
        </w:rPr>
      </w:pPr>
    </w:p>
    <w:p>
      <w:pPr>
        <w:ind w:firstLine="555"/>
        <w:rPr>
          <w:rFonts w:ascii="仿宋" w:hAnsi="仿宋" w:eastAsia="仿宋"/>
          <w:sz w:val="24"/>
          <w:szCs w:val="24"/>
        </w:rPr>
      </w:pP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五、突发环境事件应急预案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公司委托临沂市后天环保技术有限公司编制了《环境污染事件应急预案》，于</w:t>
      </w:r>
      <w:r>
        <w:rPr>
          <w:rFonts w:ascii="仿宋" w:hAnsi="仿宋" w:eastAsia="仿宋"/>
          <w:sz w:val="28"/>
          <w:szCs w:val="28"/>
        </w:rPr>
        <w:t>2013</w:t>
      </w:r>
      <w:r>
        <w:rPr>
          <w:rFonts w:hint="eastAsia" w:ascii="仿宋" w:hAnsi="仿宋" w:eastAsia="仿宋"/>
          <w:sz w:val="28"/>
          <w:szCs w:val="28"/>
        </w:rPr>
        <w:t>年6月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3日通过了临沂市环境保护局备案，备案文号</w:t>
      </w:r>
      <w:r>
        <w:rPr>
          <w:rFonts w:ascii="仿宋" w:hAnsi="仿宋" w:eastAsia="仿宋"/>
          <w:sz w:val="28"/>
          <w:szCs w:val="28"/>
        </w:rPr>
        <w:t>131</w:t>
      </w:r>
      <w:r>
        <w:rPr>
          <w:rFonts w:hint="eastAsia" w:ascii="仿宋" w:hAnsi="仿宋" w:eastAsia="仿宋"/>
          <w:sz w:val="28"/>
          <w:szCs w:val="28"/>
        </w:rPr>
        <w:t>313004。根据要求公司定期开展应急演练。备案登记表及演练记录见图2。</w:t>
      </w:r>
    </w:p>
    <w:p>
      <w:pPr>
        <w:ind w:firstLine="482" w:firstLineChars="200"/>
        <w:jc w:val="center"/>
        <w:rPr>
          <w:rFonts w:ascii="仿宋" w:hAnsi="仿宋" w:eastAsia="仿宋"/>
          <w:b/>
          <w:sz w:val="24"/>
          <w:szCs w:val="24"/>
        </w:rPr>
      </w:pPr>
    </w:p>
    <w:p>
      <w:pPr>
        <w:ind w:firstLine="482" w:firstLineChars="200"/>
        <w:jc w:val="center"/>
        <w:rPr>
          <w:rFonts w:ascii="仿宋" w:hAnsi="仿宋" w:eastAsia="仿宋"/>
          <w:b/>
          <w:sz w:val="24"/>
          <w:szCs w:val="24"/>
        </w:rPr>
      </w:pPr>
    </w:p>
    <w:p>
      <w:pPr>
        <w:ind w:firstLine="482" w:firstLineChars="200"/>
        <w:jc w:val="center"/>
        <w:rPr>
          <w:rFonts w:ascii="仿宋" w:hAnsi="仿宋" w:eastAsia="仿宋"/>
          <w:b/>
          <w:sz w:val="24"/>
          <w:szCs w:val="24"/>
        </w:rPr>
      </w:pPr>
    </w:p>
    <w:p>
      <w:pPr>
        <w:ind w:firstLine="482" w:firstLineChars="200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图2 备案登记表及演练记录</w:t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691130" cy="3898900"/>
            <wp:effectExtent l="0" t="0" r="0" b="6350"/>
            <wp:docPr id="2" name="图片 2" descr="C:\Users\Administrator\Desktop\SKMBT_283151204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SKMBT_283151204112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27300" cy="3924935"/>
            <wp:effectExtent l="0" t="0" r="6350" b="0"/>
            <wp:docPr id="23" name="图片 23" descr="F:\283\SKMBT_283151204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283\SKMBT_283151204115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联系人：张昌贵                  联系电话：18866919915</w:t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</w:p>
    <w:p>
      <w:pPr>
        <w:wordWrap w:val="0"/>
        <w:ind w:firstLine="560" w:firstLineChars="200"/>
        <w:jc w:val="righ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山东双花制药有限公司    </w:t>
      </w:r>
    </w:p>
    <w:p>
      <w:pPr>
        <w:wordWrap w:val="0"/>
        <w:ind w:firstLine="560" w:firstLineChars="200"/>
        <w:jc w:val="righ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2015年12月</w:t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日</w:t>
      </w:r>
      <w:r>
        <w:rPr>
          <w:rFonts w:hint="eastAsia" w:ascii="仿宋" w:hAnsi="仿宋" w:eastAsia="仿宋"/>
          <w:sz w:val="28"/>
          <w:szCs w:val="28"/>
        </w:rPr>
        <w:t xml:space="preserve">     </w:t>
      </w:r>
    </w:p>
    <w:sectPr>
      <w:footerReference r:id="rId3" w:type="default"/>
      <w:pgSz w:w="11906" w:h="16838"/>
      <w:pgMar w:top="1134" w:right="1418" w:bottom="1135" w:left="1418" w:header="851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5</w:t>
    </w:r>
    <w:r>
      <w:rPr>
        <w:b/>
        <w:bCs/>
        <w:sz w:val="24"/>
        <w:szCs w:val="24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D9"/>
    <w:rsid w:val="00010356"/>
    <w:rsid w:val="0002064A"/>
    <w:rsid w:val="00045967"/>
    <w:rsid w:val="00050F67"/>
    <w:rsid w:val="00061364"/>
    <w:rsid w:val="00083C81"/>
    <w:rsid w:val="000B5A93"/>
    <w:rsid w:val="000C0DE5"/>
    <w:rsid w:val="000C3AEA"/>
    <w:rsid w:val="000C3E40"/>
    <w:rsid w:val="000D57DB"/>
    <w:rsid w:val="000F3382"/>
    <w:rsid w:val="00101AC1"/>
    <w:rsid w:val="00122111"/>
    <w:rsid w:val="00135C1B"/>
    <w:rsid w:val="00135D9F"/>
    <w:rsid w:val="001378E1"/>
    <w:rsid w:val="0015535B"/>
    <w:rsid w:val="00176862"/>
    <w:rsid w:val="0019220B"/>
    <w:rsid w:val="001A7FD9"/>
    <w:rsid w:val="001B78F3"/>
    <w:rsid w:val="001E283E"/>
    <w:rsid w:val="001E5944"/>
    <w:rsid w:val="001F6FC8"/>
    <w:rsid w:val="002028D1"/>
    <w:rsid w:val="002266FD"/>
    <w:rsid w:val="00252289"/>
    <w:rsid w:val="002541F6"/>
    <w:rsid w:val="00256576"/>
    <w:rsid w:val="002D2D46"/>
    <w:rsid w:val="002E0BA0"/>
    <w:rsid w:val="002E7F23"/>
    <w:rsid w:val="002F7A17"/>
    <w:rsid w:val="00306509"/>
    <w:rsid w:val="0030720A"/>
    <w:rsid w:val="00323DCE"/>
    <w:rsid w:val="00326DC3"/>
    <w:rsid w:val="00346CB0"/>
    <w:rsid w:val="00351632"/>
    <w:rsid w:val="0035266B"/>
    <w:rsid w:val="00362551"/>
    <w:rsid w:val="0039076E"/>
    <w:rsid w:val="00394ED0"/>
    <w:rsid w:val="003A0D14"/>
    <w:rsid w:val="003A3784"/>
    <w:rsid w:val="003A45FD"/>
    <w:rsid w:val="003C2CF4"/>
    <w:rsid w:val="003C64D8"/>
    <w:rsid w:val="003D7A8D"/>
    <w:rsid w:val="003E0E24"/>
    <w:rsid w:val="003F0743"/>
    <w:rsid w:val="004107B3"/>
    <w:rsid w:val="00420891"/>
    <w:rsid w:val="0044016E"/>
    <w:rsid w:val="00442DD4"/>
    <w:rsid w:val="00450D3C"/>
    <w:rsid w:val="0046282B"/>
    <w:rsid w:val="004651D8"/>
    <w:rsid w:val="0048220C"/>
    <w:rsid w:val="004C093D"/>
    <w:rsid w:val="004E4D86"/>
    <w:rsid w:val="004E782A"/>
    <w:rsid w:val="0051731A"/>
    <w:rsid w:val="00553830"/>
    <w:rsid w:val="00570996"/>
    <w:rsid w:val="005710D5"/>
    <w:rsid w:val="00577315"/>
    <w:rsid w:val="00577EA2"/>
    <w:rsid w:val="00592F55"/>
    <w:rsid w:val="005967F5"/>
    <w:rsid w:val="005C76EF"/>
    <w:rsid w:val="005D6F67"/>
    <w:rsid w:val="006204F2"/>
    <w:rsid w:val="00621AB8"/>
    <w:rsid w:val="00626648"/>
    <w:rsid w:val="00656F17"/>
    <w:rsid w:val="0066215F"/>
    <w:rsid w:val="0066799A"/>
    <w:rsid w:val="006703D4"/>
    <w:rsid w:val="0068232D"/>
    <w:rsid w:val="00691131"/>
    <w:rsid w:val="006A3D39"/>
    <w:rsid w:val="006A6707"/>
    <w:rsid w:val="006C7408"/>
    <w:rsid w:val="006D6487"/>
    <w:rsid w:val="006D7466"/>
    <w:rsid w:val="007100F0"/>
    <w:rsid w:val="00713429"/>
    <w:rsid w:val="007253FD"/>
    <w:rsid w:val="007317CD"/>
    <w:rsid w:val="007552DB"/>
    <w:rsid w:val="00757B9E"/>
    <w:rsid w:val="00763AFB"/>
    <w:rsid w:val="007744E6"/>
    <w:rsid w:val="0077532F"/>
    <w:rsid w:val="007A1936"/>
    <w:rsid w:val="007A2198"/>
    <w:rsid w:val="007B2CFD"/>
    <w:rsid w:val="007B49EC"/>
    <w:rsid w:val="007B7523"/>
    <w:rsid w:val="007E26CC"/>
    <w:rsid w:val="007E6110"/>
    <w:rsid w:val="00816524"/>
    <w:rsid w:val="00821D70"/>
    <w:rsid w:val="0082498D"/>
    <w:rsid w:val="008355D5"/>
    <w:rsid w:val="00837D4C"/>
    <w:rsid w:val="008467F1"/>
    <w:rsid w:val="00851E01"/>
    <w:rsid w:val="00860122"/>
    <w:rsid w:val="00872D1A"/>
    <w:rsid w:val="00895332"/>
    <w:rsid w:val="0089552C"/>
    <w:rsid w:val="008B1203"/>
    <w:rsid w:val="008E1874"/>
    <w:rsid w:val="008E6AB8"/>
    <w:rsid w:val="008E7D6A"/>
    <w:rsid w:val="008F3AFB"/>
    <w:rsid w:val="00924601"/>
    <w:rsid w:val="00941CE1"/>
    <w:rsid w:val="00946964"/>
    <w:rsid w:val="00946E4E"/>
    <w:rsid w:val="00962552"/>
    <w:rsid w:val="00963AF8"/>
    <w:rsid w:val="00974480"/>
    <w:rsid w:val="00982058"/>
    <w:rsid w:val="00983FD8"/>
    <w:rsid w:val="0098415B"/>
    <w:rsid w:val="009A260A"/>
    <w:rsid w:val="009A26FB"/>
    <w:rsid w:val="009A27FA"/>
    <w:rsid w:val="009B4E0D"/>
    <w:rsid w:val="009D6C98"/>
    <w:rsid w:val="009E2D9C"/>
    <w:rsid w:val="009E3AF0"/>
    <w:rsid w:val="009E47D0"/>
    <w:rsid w:val="009E6CEA"/>
    <w:rsid w:val="009F6597"/>
    <w:rsid w:val="00A0165E"/>
    <w:rsid w:val="00A043A6"/>
    <w:rsid w:val="00A12B39"/>
    <w:rsid w:val="00A142B7"/>
    <w:rsid w:val="00A23BB1"/>
    <w:rsid w:val="00A43950"/>
    <w:rsid w:val="00A5384B"/>
    <w:rsid w:val="00A67192"/>
    <w:rsid w:val="00A805F6"/>
    <w:rsid w:val="00A8206C"/>
    <w:rsid w:val="00A85FAD"/>
    <w:rsid w:val="00AC69B6"/>
    <w:rsid w:val="00B16918"/>
    <w:rsid w:val="00B40192"/>
    <w:rsid w:val="00B54C4E"/>
    <w:rsid w:val="00B6005E"/>
    <w:rsid w:val="00B61BCA"/>
    <w:rsid w:val="00B9311F"/>
    <w:rsid w:val="00BA34C6"/>
    <w:rsid w:val="00BC434F"/>
    <w:rsid w:val="00BD46B2"/>
    <w:rsid w:val="00BE570C"/>
    <w:rsid w:val="00C02394"/>
    <w:rsid w:val="00C22D7E"/>
    <w:rsid w:val="00C31555"/>
    <w:rsid w:val="00C45974"/>
    <w:rsid w:val="00C531F1"/>
    <w:rsid w:val="00C70CBB"/>
    <w:rsid w:val="00C765DD"/>
    <w:rsid w:val="00C77EBB"/>
    <w:rsid w:val="00C90A89"/>
    <w:rsid w:val="00C91205"/>
    <w:rsid w:val="00C916AA"/>
    <w:rsid w:val="00CA3AD1"/>
    <w:rsid w:val="00CB6FBD"/>
    <w:rsid w:val="00CB7E7B"/>
    <w:rsid w:val="00CC4C3B"/>
    <w:rsid w:val="00CD7611"/>
    <w:rsid w:val="00D0216E"/>
    <w:rsid w:val="00D05798"/>
    <w:rsid w:val="00D06CA5"/>
    <w:rsid w:val="00D15D1E"/>
    <w:rsid w:val="00D31546"/>
    <w:rsid w:val="00D460ED"/>
    <w:rsid w:val="00D54D6D"/>
    <w:rsid w:val="00D551AC"/>
    <w:rsid w:val="00D93996"/>
    <w:rsid w:val="00DA2C04"/>
    <w:rsid w:val="00DB38C9"/>
    <w:rsid w:val="00DC216C"/>
    <w:rsid w:val="00DE0C2E"/>
    <w:rsid w:val="00DE0FD7"/>
    <w:rsid w:val="00E03934"/>
    <w:rsid w:val="00E11271"/>
    <w:rsid w:val="00E200B0"/>
    <w:rsid w:val="00E20BB0"/>
    <w:rsid w:val="00E32E44"/>
    <w:rsid w:val="00E34EA3"/>
    <w:rsid w:val="00E371DB"/>
    <w:rsid w:val="00E7004F"/>
    <w:rsid w:val="00E7489A"/>
    <w:rsid w:val="00EA690B"/>
    <w:rsid w:val="00EB364A"/>
    <w:rsid w:val="00EC4FC8"/>
    <w:rsid w:val="00ED10DF"/>
    <w:rsid w:val="00ED2DB4"/>
    <w:rsid w:val="00EE1CE9"/>
    <w:rsid w:val="00EE1DCE"/>
    <w:rsid w:val="00EE2510"/>
    <w:rsid w:val="00EF10C0"/>
    <w:rsid w:val="00EF1214"/>
    <w:rsid w:val="00EF69AB"/>
    <w:rsid w:val="00F15C75"/>
    <w:rsid w:val="00F15F3D"/>
    <w:rsid w:val="00F20284"/>
    <w:rsid w:val="00F23351"/>
    <w:rsid w:val="00F26D2D"/>
    <w:rsid w:val="00F354B8"/>
    <w:rsid w:val="00F45803"/>
    <w:rsid w:val="00F52082"/>
    <w:rsid w:val="00F65341"/>
    <w:rsid w:val="00F85C1E"/>
    <w:rsid w:val="00FA07C4"/>
    <w:rsid w:val="00FA106E"/>
    <w:rsid w:val="00FA51EE"/>
    <w:rsid w:val="00FD4257"/>
    <w:rsid w:val="00FF74F5"/>
    <w:rsid w:val="26EE38C4"/>
    <w:rsid w:val="2B740BE7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9"/>
    <w:pPr>
      <w:keepNext/>
      <w:keepLines/>
      <w:spacing w:before="260" w:after="260"/>
      <w:jc w:val="left"/>
      <w:outlineLvl w:val="2"/>
    </w:pPr>
    <w:rPr>
      <w:rFonts w:ascii="Times New Roman" w:hAnsi="Times New Roman" w:eastAsia="仿宋_GB2312"/>
      <w:b/>
      <w:bCs/>
      <w:kern w:val="0"/>
      <w:sz w:val="28"/>
      <w:szCs w:val="32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locked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8">
    <w:name w:val="Emphasis"/>
    <w:qFormat/>
    <w:uiPriority w:val="99"/>
    <w:rPr>
      <w:rFonts w:cs="Times New Roman"/>
      <w:i/>
    </w:rPr>
  </w:style>
  <w:style w:type="table" w:styleId="10">
    <w:name w:val="Table Grid"/>
    <w:basedOn w:val="9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1">
    <w:name w:val="标题 3 Char"/>
    <w:link w:val="2"/>
    <w:qFormat/>
    <w:locked/>
    <w:uiPriority w:val="99"/>
    <w:rPr>
      <w:rFonts w:ascii="Times New Roman" w:hAnsi="Times New Roman" w:eastAsia="仿宋_GB2312" w:cs="Times New Roman"/>
      <w:b/>
      <w:bCs/>
      <w:kern w:val="0"/>
      <w:sz w:val="32"/>
      <w:szCs w:val="32"/>
    </w:rPr>
  </w:style>
  <w:style w:type="character" w:customStyle="1" w:styleId="12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脚 Char"/>
    <w:link w:val="4"/>
    <w:locked/>
    <w:uiPriority w:val="99"/>
    <w:rPr>
      <w:rFonts w:cs="Times New Roman"/>
      <w:sz w:val="18"/>
      <w:szCs w:val="18"/>
    </w:rPr>
  </w:style>
  <w:style w:type="character" w:customStyle="1" w:styleId="14">
    <w:name w:val="批注框文本 Char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标题 Char"/>
    <w:basedOn w:val="7"/>
    <w:link w:val="6"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D0D9C0-AB75-4A63-8F3F-FE6657C37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5</Pages>
  <Words>311</Words>
  <Characters>1779</Characters>
  <Lines>14</Lines>
  <Paragraphs>4</Paragraphs>
  <TotalTime>0</TotalTime>
  <ScaleCrop>false</ScaleCrop>
  <LinksUpToDate>false</LinksUpToDate>
  <CharactersWithSpaces>2086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2015-12-15T09:52:00Z</dcterms:created>
  <dc:creator>王祥新</dc:creator>
  <cp:lastModifiedBy>Administrator</cp:lastModifiedBy>
  <cp:lastPrinted>2015-12-04T05:18:00Z</cp:lastPrinted>
  <dcterms:modified xsi:type="dcterms:W3CDTF">2015-12-15T13:35:00Z</dcterms:modified>
  <dc:title>山东临工环境信息公开材料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